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C8" w:rsidRDefault="00FB20C8" w:rsidP="00FB20C8">
      <w:pPr>
        <w:spacing w:line="3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FB20C8" w:rsidRPr="00636DB8" w:rsidRDefault="001C4CE6" w:rsidP="001C4CE6">
      <w:pPr>
        <w:spacing w:line="300" w:lineRule="auto"/>
        <w:ind w:firstLineChars="1000" w:firstLine="3200"/>
        <w:rPr>
          <w:rFonts w:ascii="仿宋" w:eastAsia="仿宋" w:hAnsi="仿宋"/>
          <w:sz w:val="32"/>
          <w:szCs w:val="32"/>
        </w:rPr>
      </w:pPr>
      <w:r w:rsidRPr="001C4CE6">
        <w:rPr>
          <w:rFonts w:ascii="仿宋" w:eastAsia="仿宋" w:hAnsi="仿宋" w:hint="eastAsia"/>
          <w:sz w:val="32"/>
          <w:szCs w:val="32"/>
        </w:rPr>
        <w:t>中电科投资控股有限公司</w:t>
      </w:r>
      <w:bookmarkStart w:id="0" w:name="_GoBack"/>
      <w:bookmarkEnd w:id="0"/>
      <w:r w:rsidR="00FB20C8" w:rsidRPr="00636DB8">
        <w:rPr>
          <w:rFonts w:ascii="仿宋" w:eastAsia="仿宋" w:hAnsi="仿宋" w:hint="eastAsia"/>
          <w:sz w:val="32"/>
          <w:szCs w:val="32"/>
        </w:rPr>
        <w:t>岗位信息一览表</w:t>
      </w:r>
    </w:p>
    <w:tbl>
      <w:tblPr>
        <w:tblStyle w:val="ac"/>
        <w:tblW w:w="14884" w:type="dxa"/>
        <w:tblInd w:w="-459" w:type="dxa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6804"/>
        <w:gridCol w:w="5528"/>
        <w:gridCol w:w="567"/>
      </w:tblGrid>
      <w:tr w:rsidR="00FB20C8" w:rsidRPr="00835EFA" w:rsidTr="004C7703"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岗位</w:t>
            </w:r>
          </w:p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567" w:type="dxa"/>
            <w:vAlign w:val="center"/>
          </w:tcPr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部门</w:t>
            </w:r>
          </w:p>
        </w:tc>
        <w:tc>
          <w:tcPr>
            <w:tcW w:w="709" w:type="dxa"/>
            <w:vAlign w:val="center"/>
          </w:tcPr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岗位名称</w:t>
            </w:r>
          </w:p>
        </w:tc>
        <w:tc>
          <w:tcPr>
            <w:tcW w:w="6804" w:type="dxa"/>
            <w:vAlign w:val="center"/>
          </w:tcPr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工作职责</w:t>
            </w:r>
          </w:p>
        </w:tc>
        <w:tc>
          <w:tcPr>
            <w:tcW w:w="5528" w:type="dxa"/>
            <w:vAlign w:val="center"/>
          </w:tcPr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任职资格</w:t>
            </w:r>
          </w:p>
        </w:tc>
        <w:tc>
          <w:tcPr>
            <w:tcW w:w="567" w:type="dxa"/>
            <w:vAlign w:val="center"/>
          </w:tcPr>
          <w:p w:rsidR="00FB20C8" w:rsidRPr="00835EF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35EFA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</w:tr>
      <w:tr w:rsidR="00FB20C8" w:rsidRPr="00835EFA" w:rsidTr="004C7703">
        <w:trPr>
          <w:trHeight w:val="2791"/>
        </w:trPr>
        <w:tc>
          <w:tcPr>
            <w:tcW w:w="709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0101</w:t>
            </w:r>
          </w:p>
        </w:tc>
        <w:tc>
          <w:tcPr>
            <w:tcW w:w="567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投资并购部</w:t>
            </w:r>
          </w:p>
        </w:tc>
        <w:tc>
          <w:tcPr>
            <w:tcW w:w="709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投资总监</w:t>
            </w:r>
          </w:p>
        </w:tc>
        <w:tc>
          <w:tcPr>
            <w:tcW w:w="6804" w:type="dxa"/>
            <w:vAlign w:val="center"/>
          </w:tcPr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根据公司发展战略规划，负责制订公司投资策略与投资计划，完成投资管理体系及各相关流程的建设；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负责组织对投资项目进行发掘、分析、调查和评估，拓展项目资源；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带领团队对拟投资项目进行筛选、分析论证和价值评估，撰写可行性分析报告等项目文件；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带领团队对正式立项的项目进行项目尽职调查、投资价值及风险分析，确定投资项目的成本、收益和风险测算、投资交易结构及条款设计、商务</w:t>
            </w:r>
            <w:proofErr w:type="gramStart"/>
            <w:r w:rsidRPr="00636DB8">
              <w:rPr>
                <w:rFonts w:ascii="仿宋" w:eastAsia="仿宋" w:hAnsi="仿宋" w:hint="eastAsia"/>
                <w:szCs w:val="21"/>
              </w:rPr>
              <w:t>谈判及投融资</w:t>
            </w:r>
            <w:proofErr w:type="gramEnd"/>
            <w:r w:rsidRPr="00636DB8">
              <w:rPr>
                <w:rFonts w:ascii="仿宋" w:eastAsia="仿宋" w:hAnsi="仿宋" w:hint="eastAsia"/>
                <w:szCs w:val="21"/>
              </w:rPr>
              <w:t>方案设计、投资分析报告编制等；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负责投资项目进入、谈判、交易、管理、退出的组织和控制；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负责筹划发起设立股权投资基金及其相关事宜；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建立、维护与政府机构、金融机构、投资合作机构、合作伙伴、潜在客户的良好关系；</w:t>
            </w:r>
          </w:p>
          <w:p w:rsidR="00FB20C8" w:rsidRPr="00636DB8" w:rsidRDefault="00FB20C8" w:rsidP="008E51E8">
            <w:pPr>
              <w:numPr>
                <w:ilvl w:val="0"/>
                <w:numId w:val="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公司分管领导安排的其他事务。</w:t>
            </w:r>
          </w:p>
        </w:tc>
        <w:tc>
          <w:tcPr>
            <w:tcW w:w="5528" w:type="dxa"/>
            <w:vAlign w:val="center"/>
          </w:tcPr>
          <w:p w:rsidR="00FB20C8" w:rsidRPr="0020254C" w:rsidRDefault="00FB20C8" w:rsidP="008E51E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仿宋" w:eastAsia="仿宋" w:hAnsi="仿宋"/>
                <w:szCs w:val="21"/>
              </w:rPr>
            </w:pPr>
            <w:r w:rsidRPr="0020254C">
              <w:rPr>
                <w:rFonts w:ascii="仿宋" w:eastAsia="仿宋" w:hAnsi="仿宋" w:hint="eastAsia"/>
                <w:szCs w:val="21"/>
              </w:rPr>
              <w:t>1.</w:t>
            </w:r>
            <w:r w:rsidRPr="0020254C">
              <w:rPr>
                <w:rFonts w:ascii="仿宋" w:eastAsia="仿宋" w:hAnsi="仿宋" w:hint="eastAsia"/>
                <w:szCs w:val="21"/>
              </w:rPr>
              <w:tab/>
              <w:t>45岁以下；经济、金融、财务、工商管理、工程等相关专业硕士以上学历（复合背景优先）；</w:t>
            </w:r>
          </w:p>
          <w:p w:rsidR="00FB20C8" w:rsidRPr="00636DB8" w:rsidRDefault="00FB20C8" w:rsidP="008E51E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 w:rsidRPr="00636DB8">
              <w:rPr>
                <w:rFonts w:ascii="仿宋" w:eastAsia="仿宋" w:hAnsi="仿宋" w:hint="eastAsia"/>
                <w:szCs w:val="21"/>
              </w:rPr>
              <w:t>.  15年以上工作经历，10年以上投资管理工作经历，5年以上团队管理经历，不少于5个独立完整的项目管理经验;熟悉国家相关法律法规政策,熟悉各类资本运作模式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36DB8" w:rsidRDefault="00FB20C8" w:rsidP="008E51E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Pr="00636DB8">
              <w:rPr>
                <w:rFonts w:ascii="仿宋" w:eastAsia="仿宋" w:hAnsi="仿宋" w:hint="eastAsia"/>
                <w:szCs w:val="21"/>
              </w:rPr>
              <w:t>.</w:t>
            </w:r>
            <w:r w:rsidRPr="00636DB8">
              <w:rPr>
                <w:rFonts w:ascii="仿宋" w:eastAsia="仿宋" w:hAnsi="仿宋" w:hint="eastAsia"/>
                <w:szCs w:val="21"/>
              </w:rPr>
              <w:tab/>
              <w:t>具有股权投资专业知识、资本运作以及财务分析能力、沟通协调以及商务谈判能力、团队领导及协作意识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36DB8" w:rsidRDefault="00FB20C8" w:rsidP="008E51E8">
            <w:pPr>
              <w:numPr>
                <w:ilvl w:val="0"/>
                <w:numId w:val="1"/>
              </w:numPr>
              <w:snapToGrid w:val="0"/>
              <w:spacing w:before="100" w:beforeAutospacing="1" w:after="100" w:afterAutospacing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636DB8">
              <w:rPr>
                <w:rFonts w:ascii="仿宋" w:eastAsia="仿宋" w:hAnsi="仿宋" w:hint="eastAsia"/>
                <w:szCs w:val="21"/>
              </w:rPr>
              <w:t>.</w:t>
            </w:r>
            <w:r w:rsidRPr="00636DB8">
              <w:rPr>
                <w:rFonts w:ascii="仿宋" w:eastAsia="仿宋" w:hAnsi="仿宋" w:hint="eastAsia"/>
                <w:szCs w:val="21"/>
              </w:rPr>
              <w:tab/>
              <w:t>CFA、CPA以及律师执业资格者优先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FB20C8" w:rsidRPr="00835EFA" w:rsidTr="004C7703">
        <w:trPr>
          <w:trHeight w:val="2791"/>
        </w:trPr>
        <w:tc>
          <w:tcPr>
            <w:tcW w:w="709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0102</w:t>
            </w:r>
          </w:p>
        </w:tc>
        <w:tc>
          <w:tcPr>
            <w:tcW w:w="567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636DB8">
              <w:rPr>
                <w:rFonts w:ascii="仿宋" w:eastAsia="仿宋" w:hAnsi="仿宋" w:hint="eastAsia"/>
                <w:szCs w:val="21"/>
              </w:rPr>
              <w:t>投资并购部</w:t>
            </w:r>
          </w:p>
        </w:tc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投资经理</w:t>
            </w:r>
          </w:p>
        </w:tc>
        <w:tc>
          <w:tcPr>
            <w:tcW w:w="6804" w:type="dxa"/>
            <w:vAlign w:val="center"/>
          </w:tcPr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根据集团及公司发展战略规划，结合部门的任务要求，参与制订部门投资业务执行计划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按照全流程管理和控制原则，领导所负责团队开展非上市企业股权投资及上市公司战略性投资，推进与上市公司间的深度合作安排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参与制定并持续优化投资管理业务流程及相关体系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负责潜在投资项目资源开拓挖掘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带领团队向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中国电科</w:t>
            </w:r>
            <w:r w:rsidRPr="00617D50">
              <w:rPr>
                <w:rFonts w:ascii="仿宋" w:eastAsia="仿宋" w:hAnsi="仿宋" w:hint="eastAsia"/>
                <w:szCs w:val="21"/>
              </w:rPr>
              <w:t>及</w:t>
            </w:r>
            <w:proofErr w:type="gramEnd"/>
            <w:r w:rsidRPr="00617D50">
              <w:rPr>
                <w:rFonts w:ascii="仿宋" w:eastAsia="仿宋" w:hAnsi="仿宋" w:hint="eastAsia"/>
                <w:szCs w:val="21"/>
              </w:rPr>
              <w:t>成员单位提供包括产业整合与并购重组等投融资方面的专业支持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指导投资经理开展项目投资、投后管理及行业研究等工作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36DB8" w:rsidRDefault="00FB20C8" w:rsidP="008E51E8">
            <w:pPr>
              <w:numPr>
                <w:ilvl w:val="0"/>
                <w:numId w:val="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部门负责人安排的其他事务。</w:t>
            </w:r>
          </w:p>
        </w:tc>
        <w:tc>
          <w:tcPr>
            <w:tcW w:w="5528" w:type="dxa"/>
            <w:vAlign w:val="center"/>
          </w:tcPr>
          <w:p w:rsidR="00FB20C8" w:rsidRPr="0020254C" w:rsidRDefault="00FB20C8" w:rsidP="008E51E8">
            <w:pPr>
              <w:numPr>
                <w:ilvl w:val="0"/>
                <w:numId w:val="4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40岁以下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20254C">
              <w:rPr>
                <w:rFonts w:ascii="仿宋" w:eastAsia="仿宋" w:hAnsi="仿宋" w:hint="eastAsia"/>
                <w:szCs w:val="21"/>
              </w:rPr>
              <w:t>经济、金融、财务、工商管理、工程等相关专业硕士以上学历（复合背景优先）；</w:t>
            </w:r>
          </w:p>
          <w:p w:rsidR="00FB20C8" w:rsidRPr="00617D50" w:rsidRDefault="00FB20C8" w:rsidP="008E51E8">
            <w:pPr>
              <w:numPr>
                <w:ilvl w:val="0"/>
                <w:numId w:val="4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8年以上投资管理工作经历，不少于3个独立完整的项目管理经验;熟悉国家相关法律法规政策,熟悉各类资本运作模式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4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具有股权投资专业知识、资本运作以及财务分析能力、沟通协调以及商务谈判能力、团队领导及协作意识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36DB8" w:rsidRDefault="00FB20C8" w:rsidP="008E51E8">
            <w:pPr>
              <w:numPr>
                <w:ilvl w:val="0"/>
                <w:numId w:val="4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617D50">
              <w:rPr>
                <w:rFonts w:ascii="仿宋" w:eastAsia="仿宋" w:hAnsi="仿宋" w:hint="eastAsia"/>
                <w:szCs w:val="21"/>
              </w:rPr>
              <w:t>CFA、CPA以及律师执业资格者优先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FB20C8" w:rsidRPr="00835EFA" w:rsidTr="004C7703">
        <w:trPr>
          <w:trHeight w:val="2791"/>
        </w:trPr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0103</w:t>
            </w:r>
          </w:p>
        </w:tc>
        <w:tc>
          <w:tcPr>
            <w:tcW w:w="567" w:type="dxa"/>
            <w:vAlign w:val="center"/>
          </w:tcPr>
          <w:p w:rsidR="00FB20C8" w:rsidRPr="00636DB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投资并购部</w:t>
            </w:r>
          </w:p>
        </w:tc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投资主管</w:t>
            </w:r>
          </w:p>
        </w:tc>
        <w:tc>
          <w:tcPr>
            <w:tcW w:w="6804" w:type="dxa"/>
            <w:vAlign w:val="center"/>
          </w:tcPr>
          <w:p w:rsidR="00FB20C8" w:rsidRPr="003817BA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协助配合产业项目直投（非上市企业股权投资及上市公司战略性投资），包括投资标的</w:t>
            </w:r>
            <w:proofErr w:type="gramStart"/>
            <w:r w:rsidRPr="003817BA">
              <w:rPr>
                <w:rFonts w:ascii="仿宋" w:eastAsia="仿宋" w:hAnsi="仿宋" w:hint="eastAsia"/>
                <w:szCs w:val="21"/>
              </w:rPr>
              <w:t>的</w:t>
            </w:r>
            <w:proofErr w:type="gramEnd"/>
            <w:r w:rsidRPr="003817BA">
              <w:rPr>
                <w:rFonts w:ascii="仿宋" w:eastAsia="仿宋" w:hAnsi="仿宋" w:hint="eastAsia"/>
                <w:szCs w:val="21"/>
              </w:rPr>
              <w:t>搜寻与筛选，撰写立项申请报告，开展尽职调查，组织商务谈判，设计交易方案，编制投资建议书，履行内部决策程序，签订交易协议以及执行交割实施等工作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817BA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协助配合已投企业的日常投后管理，提供相应增值服务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817BA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协助配合拟投企业或已投企业所在行业开展深度研究分析，输出行业研究报告并持续更新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817BA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协助配合已投项目的退出方案设计以及退出实施执行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817BA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协助配合向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中国电科</w:t>
            </w:r>
            <w:r w:rsidRPr="003817BA">
              <w:rPr>
                <w:rFonts w:ascii="仿宋" w:eastAsia="仿宋" w:hAnsi="仿宋" w:hint="eastAsia"/>
                <w:szCs w:val="21"/>
              </w:rPr>
              <w:t>及</w:t>
            </w:r>
            <w:proofErr w:type="gramEnd"/>
            <w:r w:rsidRPr="003817BA">
              <w:rPr>
                <w:rFonts w:ascii="仿宋" w:eastAsia="仿宋" w:hAnsi="仿宋" w:hint="eastAsia"/>
                <w:szCs w:val="21"/>
              </w:rPr>
              <w:t>成员单位提供包括产业整合与并购重组等投融资方面的专业支持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5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部门安排的其他事务。</w:t>
            </w:r>
          </w:p>
        </w:tc>
        <w:tc>
          <w:tcPr>
            <w:tcW w:w="5528" w:type="dxa"/>
            <w:vAlign w:val="center"/>
          </w:tcPr>
          <w:p w:rsidR="00FB20C8" w:rsidRPr="0020254C" w:rsidRDefault="00FB20C8" w:rsidP="008E51E8">
            <w:pPr>
              <w:numPr>
                <w:ilvl w:val="0"/>
                <w:numId w:val="6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20254C">
              <w:rPr>
                <w:rFonts w:ascii="仿宋" w:eastAsia="仿宋" w:hAnsi="仿宋" w:hint="eastAsia"/>
                <w:szCs w:val="21"/>
              </w:rPr>
              <w:t>35岁以下；经济、金融、财务、工商管理、工程等相关专业硕士以上学历（复合背景优先）；</w:t>
            </w:r>
          </w:p>
          <w:p w:rsidR="00FB20C8" w:rsidRPr="003817BA" w:rsidRDefault="00FB20C8" w:rsidP="008E51E8">
            <w:pPr>
              <w:numPr>
                <w:ilvl w:val="0"/>
                <w:numId w:val="6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2年以上相关工作经验，不少于1个独立完整的项目经验;熟悉国家相关法律法规政策,熟悉各类资本运作模式，具有海外留学经历对工作年限无要求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817BA" w:rsidRDefault="00FB20C8" w:rsidP="008E51E8">
            <w:pPr>
              <w:numPr>
                <w:ilvl w:val="0"/>
                <w:numId w:val="6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具有行业研究能力、财务分析能力、项目管理能力、沟通协调能力、团队协作意识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617D50" w:rsidRDefault="00FB20C8" w:rsidP="008E51E8">
            <w:pPr>
              <w:numPr>
                <w:ilvl w:val="0"/>
                <w:numId w:val="6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3817BA">
              <w:rPr>
                <w:rFonts w:ascii="仿宋" w:eastAsia="仿宋" w:hAnsi="仿宋" w:hint="eastAsia"/>
                <w:szCs w:val="21"/>
              </w:rPr>
              <w:t>CFA、CPA以及律师执业资格者优先。</w:t>
            </w:r>
          </w:p>
        </w:tc>
        <w:tc>
          <w:tcPr>
            <w:tcW w:w="567" w:type="dxa"/>
            <w:vAlign w:val="center"/>
          </w:tcPr>
          <w:p w:rsidR="00FB20C8" w:rsidRPr="003817BA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FB20C8" w:rsidRPr="00835EFA" w:rsidTr="004C7703">
        <w:trPr>
          <w:trHeight w:val="2791"/>
        </w:trPr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201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金融市场部</w:t>
            </w:r>
          </w:p>
        </w:tc>
        <w:tc>
          <w:tcPr>
            <w:tcW w:w="709" w:type="dxa"/>
            <w:vAlign w:val="center"/>
          </w:tcPr>
          <w:p w:rsidR="00FB20C8" w:rsidRPr="0006568F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投资总监</w:t>
            </w:r>
          </w:p>
        </w:tc>
        <w:tc>
          <w:tcPr>
            <w:tcW w:w="6804" w:type="dxa"/>
            <w:vAlign w:val="center"/>
          </w:tcPr>
          <w:p w:rsidR="00FB20C8" w:rsidRPr="00AA46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根据公司发展战略规划，负责制订公司金融领域投资策略与投资计划，完善投资管理体系及各相关流程的建设；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负责组织对投资项目进行发掘、分析、调查和评估，拓展项目资源；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带领团队对拟投资项目进行筛选、分析论证和价值评估，撰写可行性分析报告等项目文件；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带领团队对正式立项的项目进行项目尽职调查、投资价值及风险分析，确定投资项目的成本、收益和风险测算、投资交易结构及条款设计、商务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谈判及投融资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方案设计、投资分析报告编制等；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负责投资项目进入、谈判、交易、管理、退出的组织和控制；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负责筹划发起设立证券、其他类投资基金及其相关事宜；</w:t>
            </w:r>
          </w:p>
          <w:p w:rsidR="00FB20C8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建立、维护与政府机构、金融机构、投资合作机构、合作伙伴、潜在客户的良好关系；</w:t>
            </w:r>
          </w:p>
          <w:p w:rsidR="00FB20C8" w:rsidRPr="0006568F" w:rsidRDefault="00FB20C8" w:rsidP="008E51E8">
            <w:pPr>
              <w:numPr>
                <w:ilvl w:val="0"/>
                <w:numId w:val="13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AA46C8">
              <w:rPr>
                <w:rFonts w:ascii="仿宋" w:eastAsia="仿宋" w:hAnsi="仿宋" w:hint="eastAsia"/>
                <w:kern w:val="0"/>
                <w:szCs w:val="21"/>
              </w:rPr>
              <w:t>领导安排的其他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工作</w:t>
            </w:r>
            <w:r w:rsidRPr="00AA46C8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  <w:tc>
          <w:tcPr>
            <w:tcW w:w="5528" w:type="dxa"/>
            <w:vAlign w:val="center"/>
          </w:tcPr>
          <w:p w:rsidR="00FB20C8" w:rsidRPr="00472955" w:rsidRDefault="00FB20C8" w:rsidP="008E51E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Chars="18" w:left="458" w:firstLineChars="0"/>
              <w:outlineLvl w:val="3"/>
              <w:rPr>
                <w:rFonts w:ascii="仿宋" w:eastAsia="仿宋" w:hAnsi="仿宋"/>
                <w:szCs w:val="21"/>
              </w:rPr>
            </w:pPr>
            <w:r w:rsidRPr="00472955">
              <w:rPr>
                <w:rFonts w:ascii="仿宋" w:eastAsia="仿宋" w:hAnsi="仿宋"/>
                <w:szCs w:val="21"/>
              </w:rPr>
              <w:t>45岁以下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472955">
              <w:rPr>
                <w:rFonts w:ascii="仿宋" w:eastAsia="仿宋" w:hAnsi="仿宋"/>
                <w:szCs w:val="21"/>
              </w:rPr>
              <w:t>重点院校硕士及以上学历，经济、金融、财务、工商管理、工程等相关专业（复合背景优先）</w:t>
            </w:r>
            <w:r w:rsidRPr="00472955">
              <w:rPr>
                <w:rFonts w:ascii="仿宋" w:eastAsia="仿宋" w:hAnsi="仿宋" w:hint="eastAsia"/>
                <w:szCs w:val="21"/>
              </w:rPr>
              <w:t>，特殊优秀者可放宽至本科学历；</w:t>
            </w:r>
          </w:p>
          <w:p w:rsidR="00FB20C8" w:rsidRDefault="00FB20C8" w:rsidP="008E51E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Chars="18" w:left="458" w:firstLineChars="0"/>
              <w:outlineLvl w:val="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年以上工作经历，5年以上投资管理工作经历，3年以上团队管理经历;</w:t>
            </w:r>
          </w:p>
          <w:p w:rsidR="00FB20C8" w:rsidRPr="00B3734A" w:rsidRDefault="00FB20C8" w:rsidP="008E51E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Chars="18" w:left="458" w:firstLineChars="0"/>
              <w:outlineLvl w:val="3"/>
              <w:rPr>
                <w:rFonts w:ascii="仿宋" w:eastAsia="仿宋" w:hAnsi="仿宋"/>
                <w:szCs w:val="21"/>
              </w:rPr>
            </w:pPr>
            <w:r w:rsidRPr="00B3734A">
              <w:rPr>
                <w:rFonts w:ascii="仿宋" w:eastAsia="仿宋" w:hAnsi="仿宋" w:hint="eastAsia"/>
                <w:szCs w:val="21"/>
              </w:rPr>
              <w:t>熟悉国家相关法律法规政策,</w:t>
            </w:r>
            <w:r>
              <w:rPr>
                <w:rFonts w:ascii="仿宋" w:eastAsia="仿宋" w:hAnsi="仿宋" w:hint="eastAsia"/>
                <w:szCs w:val="21"/>
              </w:rPr>
              <w:t xml:space="preserve"> 具有金融投资专业知识、财务分析能力，</w:t>
            </w:r>
            <w:r w:rsidRPr="00B3734A">
              <w:rPr>
                <w:rFonts w:ascii="仿宋" w:eastAsia="仿宋" w:hAnsi="仿宋" w:hint="eastAsia"/>
                <w:szCs w:val="21"/>
              </w:rPr>
              <w:t>熟悉各类资本运作</w:t>
            </w:r>
            <w:r>
              <w:rPr>
                <w:rFonts w:ascii="仿宋" w:eastAsia="仿宋" w:hAnsi="仿宋" w:hint="eastAsia"/>
                <w:szCs w:val="21"/>
              </w:rPr>
              <w:t>模式；</w:t>
            </w:r>
          </w:p>
          <w:p w:rsidR="00FB20C8" w:rsidRDefault="00FB20C8" w:rsidP="008E51E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Chars="18" w:left="458" w:firstLineChars="0"/>
              <w:outlineLvl w:val="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具备良好沟通协调以及商务谈判能力、团队领导及协作意识。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  <w:p w:rsidR="00FB20C8" w:rsidRPr="003817BA" w:rsidRDefault="00FB20C8" w:rsidP="008E51E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Chars="18" w:left="458" w:firstLineChars="0"/>
              <w:outlineLvl w:val="3"/>
              <w:rPr>
                <w:rFonts w:ascii="仿宋" w:eastAsia="仿宋" w:hAnsi="仿宋"/>
                <w:szCs w:val="21"/>
              </w:rPr>
            </w:pPr>
            <w:r w:rsidRPr="0020254C">
              <w:rPr>
                <w:rFonts w:ascii="仿宋" w:eastAsia="仿宋" w:hAnsi="仿宋" w:hint="eastAsia"/>
                <w:szCs w:val="21"/>
              </w:rPr>
              <w:t>CFA、CPA以及律师执业资格者优先。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FB20C8" w:rsidRPr="00835EFA" w:rsidTr="004C7703">
        <w:trPr>
          <w:trHeight w:val="2542"/>
        </w:trPr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020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金融市场部</w:t>
            </w:r>
          </w:p>
        </w:tc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高级经理/</w:t>
            </w:r>
          </w:p>
          <w:p w:rsidR="00FB20C8" w:rsidRPr="0006568F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投资经理</w:t>
            </w:r>
          </w:p>
        </w:tc>
        <w:tc>
          <w:tcPr>
            <w:tcW w:w="6804" w:type="dxa"/>
            <w:vAlign w:val="center"/>
          </w:tcPr>
          <w:p w:rsidR="00FB20C8" w:rsidRDefault="00FB20C8" w:rsidP="004C77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ab/>
              <w:t>负责定期编制公司固定收益类投资的计划、策略及各类报告；</w:t>
            </w:r>
          </w:p>
          <w:p w:rsidR="00FB20C8" w:rsidRDefault="00FB20C8" w:rsidP="004C77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ab/>
              <w:t>负责各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类固收产品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的筛选、投资管理及运作；</w:t>
            </w:r>
          </w:p>
          <w:p w:rsidR="00FB20C8" w:rsidRDefault="00FB20C8" w:rsidP="004C77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ab/>
              <w:t>负责固收市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场研究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与分析，并对投资策略和方案的调整提出建议；</w:t>
            </w:r>
          </w:p>
          <w:p w:rsidR="00FB20C8" w:rsidRDefault="00FB20C8" w:rsidP="004C77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ab/>
              <w:t>负责FOF产品搭建，委外机构的选择、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尽调与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产品管理；</w:t>
            </w:r>
          </w:p>
          <w:p w:rsidR="00FB20C8" w:rsidRPr="00C050FA" w:rsidRDefault="00FB20C8" w:rsidP="004C770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ab/>
              <w:t>负责对接各类金融机构，建立多元化的产品渠道。</w:t>
            </w:r>
          </w:p>
        </w:tc>
        <w:tc>
          <w:tcPr>
            <w:tcW w:w="5528" w:type="dxa"/>
            <w:vAlign w:val="center"/>
          </w:tcPr>
          <w:p w:rsidR="00FB20C8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40岁以下；重点院校硕士及以上学历，经济、金融等相关专业，</w:t>
            </w:r>
            <w:r w:rsidRPr="003F7E04">
              <w:rPr>
                <w:rFonts w:ascii="仿宋" w:eastAsia="仿宋" w:hAnsi="仿宋" w:hint="eastAsia"/>
                <w:szCs w:val="21"/>
              </w:rPr>
              <w:t>特殊优秀者可放宽至本科学历；</w:t>
            </w:r>
          </w:p>
          <w:p w:rsidR="00FB20C8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5年以上固定收益类投资经验，具有良好的投资业绩；</w:t>
            </w:r>
          </w:p>
          <w:p w:rsidR="00FB20C8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熟悉市场各类固定收益类和低风险权益类产品，熟悉大类资产配置策略；</w:t>
            </w:r>
          </w:p>
          <w:p w:rsidR="00FB20C8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熟悉相关法律、法规和政策；</w:t>
            </w:r>
          </w:p>
          <w:p w:rsidR="00FB20C8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具有良好的投资价值分析能力。</w:t>
            </w:r>
          </w:p>
          <w:p w:rsidR="00FB20C8" w:rsidRPr="0006568F" w:rsidRDefault="00FB20C8" w:rsidP="008E51E8">
            <w:pPr>
              <w:numPr>
                <w:ilvl w:val="0"/>
                <w:numId w:val="9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具备团队精神、良好的组织沟通和协调能力、强烈的责任心及良好的职业操守。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FB20C8" w:rsidRPr="00835EFA" w:rsidTr="004C7703">
        <w:trPr>
          <w:trHeight w:val="2533"/>
        </w:trPr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020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金融市场部</w:t>
            </w:r>
          </w:p>
        </w:tc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noProof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投资经理/</w:t>
            </w:r>
          </w:p>
          <w:p w:rsidR="00FB20C8" w:rsidRDefault="00FB20C8" w:rsidP="004C7703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noProof/>
                <w:szCs w:val="21"/>
              </w:rPr>
              <w:t>投资主管</w:t>
            </w:r>
          </w:p>
        </w:tc>
        <w:tc>
          <w:tcPr>
            <w:tcW w:w="6804" w:type="dxa"/>
            <w:vAlign w:val="center"/>
          </w:tcPr>
          <w:p w:rsidR="00FB20C8" w:rsidRDefault="00FB20C8" w:rsidP="008E51E8">
            <w:pPr>
              <w:numPr>
                <w:ilvl w:val="0"/>
                <w:numId w:val="10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根据宏观经济环境和相关政策变化，负责宏观经济、重点行业及股票的投资分析；</w:t>
            </w:r>
          </w:p>
          <w:p w:rsidR="00FB20C8" w:rsidRDefault="00FB20C8" w:rsidP="008E51E8">
            <w:pPr>
              <w:numPr>
                <w:ilvl w:val="0"/>
                <w:numId w:val="10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对上市公司进行调研，撰写调研报告，并负责拟投资标的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的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投资分析报告；</w:t>
            </w:r>
          </w:p>
          <w:p w:rsidR="00FB20C8" w:rsidRDefault="00FB20C8" w:rsidP="008E51E8">
            <w:pPr>
              <w:numPr>
                <w:ilvl w:val="0"/>
                <w:numId w:val="10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与证券公司、研究所保持密切联系，充分利用外部研究成果，获取对投资管理有价值的信息；</w:t>
            </w:r>
          </w:p>
          <w:p w:rsidR="00FB20C8" w:rsidRDefault="00FB20C8" w:rsidP="008E51E8">
            <w:pPr>
              <w:numPr>
                <w:ilvl w:val="0"/>
                <w:numId w:val="10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协助高级投资经理进行股票池维护、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定增项目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筛选等工作；</w:t>
            </w:r>
          </w:p>
          <w:p w:rsidR="00FB20C8" w:rsidRPr="00EE3FA0" w:rsidRDefault="00FB20C8" w:rsidP="008E51E8">
            <w:pPr>
              <w:numPr>
                <w:ilvl w:val="0"/>
                <w:numId w:val="10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完成领导安排的其他工作。</w:t>
            </w:r>
          </w:p>
        </w:tc>
        <w:tc>
          <w:tcPr>
            <w:tcW w:w="5528" w:type="dxa"/>
            <w:vAlign w:val="center"/>
          </w:tcPr>
          <w:p w:rsidR="00FB20C8" w:rsidRDefault="00FB20C8" w:rsidP="008E51E8">
            <w:pPr>
              <w:numPr>
                <w:ilvl w:val="0"/>
                <w:numId w:val="11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岁以下；重点院校硕士及以上学历，经济、金融或通信电子相关专业，</w:t>
            </w:r>
            <w:r w:rsidRPr="003F7E04">
              <w:rPr>
                <w:rFonts w:ascii="仿宋" w:eastAsia="仿宋" w:hAnsi="仿宋" w:hint="eastAsia"/>
                <w:szCs w:val="21"/>
              </w:rPr>
              <w:t>特殊优秀者可放宽至本科学历；</w:t>
            </w:r>
          </w:p>
          <w:p w:rsidR="00FB20C8" w:rsidRDefault="00FB20C8" w:rsidP="008E51E8">
            <w:pPr>
              <w:numPr>
                <w:ilvl w:val="0"/>
                <w:numId w:val="11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具有3年以上相关行业研究分析经验，具有CFA资格者优先，有券商及基金公司等机构工作经验者优先；</w:t>
            </w:r>
          </w:p>
          <w:p w:rsidR="00FB20C8" w:rsidRDefault="00FB20C8" w:rsidP="008E51E8">
            <w:pPr>
              <w:numPr>
                <w:ilvl w:val="0"/>
                <w:numId w:val="11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具有较强的信息搜集能力、逻辑思维能力、分析判断能力、沟通表达能力和良好的团队合作精神；</w:t>
            </w:r>
          </w:p>
          <w:p w:rsidR="00FB20C8" w:rsidRDefault="00FB20C8" w:rsidP="008E51E8">
            <w:pPr>
              <w:numPr>
                <w:ilvl w:val="0"/>
                <w:numId w:val="11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工作积极主动、责任心强，具备良好的职业操守；</w:t>
            </w:r>
          </w:p>
          <w:p w:rsidR="00FB20C8" w:rsidRPr="00EE3FA0" w:rsidRDefault="00FB20C8" w:rsidP="008E51E8">
            <w:pPr>
              <w:numPr>
                <w:ilvl w:val="0"/>
                <w:numId w:val="11"/>
              </w:numPr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能适应经常性短期出差。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FB20C8" w:rsidRPr="00835EFA" w:rsidTr="00FB20C8">
        <w:trPr>
          <w:trHeight w:val="983"/>
        </w:trPr>
        <w:tc>
          <w:tcPr>
            <w:tcW w:w="709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0301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风险管理与法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部</w:t>
            </w:r>
          </w:p>
        </w:tc>
        <w:tc>
          <w:tcPr>
            <w:tcW w:w="709" w:type="dxa"/>
            <w:vAlign w:val="center"/>
          </w:tcPr>
          <w:p w:rsidR="00FB20C8" w:rsidRPr="00EE3FA0" w:rsidRDefault="00FB20C8" w:rsidP="004C7703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高级经理</w:t>
            </w:r>
          </w:p>
        </w:tc>
        <w:tc>
          <w:tcPr>
            <w:tcW w:w="6804" w:type="dxa"/>
            <w:vAlign w:val="center"/>
          </w:tcPr>
          <w:p w:rsidR="00FB20C8" w:rsidRPr="00EE3FA0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负责组织建立健全公司全面风险管理体系以及相关法律、风险管理制度和流程，组织公司各部门落实全面风险管理体系，执行公司内部控制及风险评价等相关工作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EE3FA0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为公司的业务发展、运营、管理决策提供法</w:t>
            </w:r>
            <w:proofErr w:type="gramStart"/>
            <w:r w:rsidRPr="00EE3FA0"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  <w:r w:rsidRPr="00EE3FA0">
              <w:rPr>
                <w:rFonts w:ascii="仿宋" w:eastAsia="仿宋" w:hAnsi="仿宋" w:hint="eastAsia"/>
                <w:szCs w:val="21"/>
              </w:rPr>
              <w:t>支持，出具风险评估意见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EE3FA0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组织公司进行法律法规、业务技能的培训，组织公司普法宣传教育活动，倡导合</w:t>
            </w:r>
            <w:proofErr w:type="gramStart"/>
            <w:r w:rsidRPr="00EE3FA0">
              <w:rPr>
                <w:rFonts w:ascii="仿宋" w:eastAsia="仿宋" w:hAnsi="仿宋" w:hint="eastAsia"/>
                <w:szCs w:val="21"/>
              </w:rPr>
              <w:t>规</w:t>
            </w:r>
            <w:proofErr w:type="gramEnd"/>
            <w:r w:rsidRPr="00EE3FA0">
              <w:rPr>
                <w:rFonts w:ascii="仿宋" w:eastAsia="仿宋" w:hAnsi="仿宋" w:hint="eastAsia"/>
                <w:szCs w:val="21"/>
              </w:rPr>
              <w:t>文化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EE3FA0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负责与公司战略合作律师事务所进行沟通、开展工作协助，为公司接受外部法律服务提供保障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EE3FA0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负责协助部门领导实施公司综合计划管理，包括且不限于编写相关计划、总结、汇报材料等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C050FA" w:rsidRDefault="00FB20C8" w:rsidP="008E51E8">
            <w:pPr>
              <w:numPr>
                <w:ilvl w:val="0"/>
                <w:numId w:val="7"/>
              </w:numPr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部门领导交办的其他工作。</w:t>
            </w:r>
          </w:p>
        </w:tc>
        <w:tc>
          <w:tcPr>
            <w:tcW w:w="5528" w:type="dxa"/>
            <w:vAlign w:val="center"/>
          </w:tcPr>
          <w:p w:rsidR="00FB20C8" w:rsidRDefault="00FB20C8" w:rsidP="008E51E8">
            <w:pPr>
              <w:numPr>
                <w:ilvl w:val="0"/>
                <w:numId w:val="1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法律、财务、金融、经济、会计等相关专业，具备法律、财务、金融类相关职业资格优先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Default="00FB20C8" w:rsidP="008E51E8">
            <w:pPr>
              <w:numPr>
                <w:ilvl w:val="0"/>
                <w:numId w:val="1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/>
                <w:szCs w:val="21"/>
              </w:rPr>
              <w:t>思维缜密、原则性强、正直，高度的责任心与敬业精神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Default="00FB20C8" w:rsidP="008E51E8">
            <w:pPr>
              <w:numPr>
                <w:ilvl w:val="0"/>
                <w:numId w:val="1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/>
                <w:szCs w:val="21"/>
              </w:rPr>
              <w:t>曾负责/深度参与</w:t>
            </w:r>
            <w:r w:rsidRPr="00EE3FA0">
              <w:rPr>
                <w:rFonts w:ascii="仿宋" w:eastAsia="仿宋" w:hAnsi="仿宋" w:hint="eastAsia"/>
                <w:szCs w:val="21"/>
              </w:rPr>
              <w:t>全面风险管理、</w:t>
            </w:r>
            <w:r w:rsidRPr="00EE3FA0">
              <w:rPr>
                <w:rFonts w:ascii="仿宋" w:eastAsia="仿宋" w:hAnsi="仿宋"/>
                <w:szCs w:val="21"/>
              </w:rPr>
              <w:t>法</w:t>
            </w:r>
            <w:proofErr w:type="gramStart"/>
            <w:r w:rsidRPr="00EE3FA0">
              <w:rPr>
                <w:rFonts w:ascii="仿宋" w:eastAsia="仿宋" w:hAnsi="仿宋"/>
                <w:szCs w:val="21"/>
              </w:rPr>
              <w:t>务</w:t>
            </w:r>
            <w:proofErr w:type="gramEnd"/>
            <w:r w:rsidRPr="00EE3FA0">
              <w:rPr>
                <w:rFonts w:ascii="仿宋" w:eastAsia="仿宋" w:hAnsi="仿宋"/>
                <w:szCs w:val="21"/>
              </w:rPr>
              <w:t>合同的起草、谈判和审核</w:t>
            </w:r>
            <w:r w:rsidRPr="00EE3FA0">
              <w:rPr>
                <w:rFonts w:ascii="仿宋" w:eastAsia="仿宋" w:hAnsi="仿宋" w:hint="eastAsia"/>
                <w:szCs w:val="21"/>
              </w:rPr>
              <w:t>等工作</w:t>
            </w:r>
            <w:r w:rsidRPr="00EE3FA0">
              <w:rPr>
                <w:rFonts w:ascii="仿宋" w:eastAsia="仿宋" w:hAnsi="仿宋"/>
                <w:szCs w:val="21"/>
              </w:rPr>
              <w:t>，具备很强的风险识别与判断能力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Default="00FB20C8" w:rsidP="008E51E8">
            <w:pPr>
              <w:numPr>
                <w:ilvl w:val="0"/>
                <w:numId w:val="1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/>
                <w:szCs w:val="21"/>
              </w:rPr>
              <w:t>经历过股权/债权/资产收购/结构性投融资业务/IPO案例者优先</w:t>
            </w:r>
            <w:r w:rsidRPr="00EE3FA0">
              <w:rPr>
                <w:rFonts w:ascii="仿宋" w:eastAsia="仿宋" w:hAnsi="仿宋" w:hint="eastAsia"/>
                <w:szCs w:val="21"/>
              </w:rPr>
              <w:t>；</w:t>
            </w:r>
            <w:proofErr w:type="gramStart"/>
            <w:r w:rsidRPr="00EE3FA0">
              <w:rPr>
                <w:rFonts w:ascii="仿宋" w:eastAsia="仿宋" w:hAnsi="仿宋"/>
                <w:szCs w:val="21"/>
              </w:rPr>
              <w:t>熟悉私募</w:t>
            </w:r>
            <w:r w:rsidRPr="00EE3FA0">
              <w:rPr>
                <w:rFonts w:ascii="仿宋" w:eastAsia="仿宋" w:hAnsi="仿宋" w:hint="eastAsia"/>
                <w:szCs w:val="21"/>
              </w:rPr>
              <w:t>股权</w:t>
            </w:r>
            <w:r w:rsidRPr="00EE3FA0">
              <w:rPr>
                <w:rFonts w:ascii="仿宋" w:eastAsia="仿宋" w:hAnsi="仿宋"/>
                <w:szCs w:val="21"/>
              </w:rPr>
              <w:t>基金</w:t>
            </w:r>
            <w:proofErr w:type="gramEnd"/>
            <w:r w:rsidRPr="00EE3FA0">
              <w:rPr>
                <w:rFonts w:ascii="仿宋" w:eastAsia="仿宋" w:hAnsi="仿宋" w:hint="eastAsia"/>
                <w:szCs w:val="21"/>
              </w:rPr>
              <w:t>、融资租赁</w:t>
            </w:r>
            <w:r w:rsidRPr="00EE3FA0">
              <w:rPr>
                <w:rFonts w:ascii="仿宋" w:eastAsia="仿宋" w:hAnsi="仿宋"/>
                <w:szCs w:val="21"/>
              </w:rPr>
              <w:t>等金融</w:t>
            </w:r>
            <w:r w:rsidRPr="00EE3FA0">
              <w:rPr>
                <w:rFonts w:ascii="仿宋" w:eastAsia="仿宋" w:hAnsi="仿宋" w:hint="eastAsia"/>
                <w:szCs w:val="21"/>
              </w:rPr>
              <w:t>业务</w:t>
            </w:r>
            <w:r w:rsidRPr="00EE3FA0">
              <w:rPr>
                <w:rFonts w:ascii="仿宋" w:eastAsia="仿宋" w:hAnsi="仿宋"/>
                <w:szCs w:val="21"/>
              </w:rPr>
              <w:t>优先</w:t>
            </w:r>
            <w:r w:rsidRPr="00EE3FA0">
              <w:rPr>
                <w:rFonts w:ascii="仿宋" w:eastAsia="仿宋" w:hAnsi="仿宋" w:hint="eastAsia"/>
                <w:szCs w:val="21"/>
              </w:rPr>
              <w:t>；深刻理解上述业务的风险管理核心要点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B20C8" w:rsidRPr="003558DA" w:rsidRDefault="00FB20C8" w:rsidP="008E51E8">
            <w:pPr>
              <w:numPr>
                <w:ilvl w:val="0"/>
                <w:numId w:val="12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EE3FA0">
              <w:rPr>
                <w:rFonts w:ascii="仿宋" w:eastAsia="仿宋" w:hAnsi="仿宋" w:hint="eastAsia"/>
                <w:szCs w:val="21"/>
              </w:rPr>
              <w:t>大局观、综合协调能力、执行能力、责任感强。</w:t>
            </w:r>
          </w:p>
        </w:tc>
        <w:tc>
          <w:tcPr>
            <w:tcW w:w="567" w:type="dxa"/>
            <w:vAlign w:val="center"/>
          </w:tcPr>
          <w:p w:rsidR="00FB20C8" w:rsidRDefault="00FB20C8" w:rsidP="004C770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</w:tbl>
    <w:p w:rsidR="00B827B4" w:rsidRPr="00FB20C8" w:rsidRDefault="00B827B4" w:rsidP="00FB20C8"/>
    <w:sectPr w:rsidR="00B827B4" w:rsidRPr="00FB20C8" w:rsidSect="00FB20C8">
      <w:pgSz w:w="16838" w:h="11906" w:orient="landscape"/>
      <w:pgMar w:top="993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53" w:rsidRDefault="000A1D53" w:rsidP="00B94504">
      <w:r>
        <w:separator/>
      </w:r>
    </w:p>
  </w:endnote>
  <w:endnote w:type="continuationSeparator" w:id="0">
    <w:p w:rsidR="000A1D53" w:rsidRDefault="000A1D53" w:rsidP="00B9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53" w:rsidRDefault="000A1D53" w:rsidP="00B94504">
      <w:r>
        <w:separator/>
      </w:r>
    </w:p>
  </w:footnote>
  <w:footnote w:type="continuationSeparator" w:id="0">
    <w:p w:rsidR="000A1D53" w:rsidRDefault="000A1D53" w:rsidP="00B9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1CC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5A3F12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DB4589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AB0E28"/>
    <w:multiLevelType w:val="hybridMultilevel"/>
    <w:tmpl w:val="E5EC451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DF1758"/>
    <w:multiLevelType w:val="hybridMultilevel"/>
    <w:tmpl w:val="657A7B5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B06435E"/>
    <w:multiLevelType w:val="hybridMultilevel"/>
    <w:tmpl w:val="05DE5C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E278B7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97A1B37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FB743F5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7003C0D"/>
    <w:multiLevelType w:val="hybridMultilevel"/>
    <w:tmpl w:val="A2BA3A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D8D7E30"/>
    <w:multiLevelType w:val="hybridMultilevel"/>
    <w:tmpl w:val="AF8AE440"/>
    <w:lvl w:ilvl="0" w:tplc="0409000F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1">
    <w:nsid w:val="73B77F9F"/>
    <w:multiLevelType w:val="hybridMultilevel"/>
    <w:tmpl w:val="05DE5C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1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trackedChange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1310177055626457NQ"/>
    <w:docVar w:name="aztPrintName" w:val="000000ESAOAPRINT"/>
    <w:docVar w:name="aztPrintType" w:val="2"/>
  </w:docVars>
  <w:rsids>
    <w:rsidRoot w:val="0061465E"/>
    <w:rsid w:val="00005593"/>
    <w:rsid w:val="00017E51"/>
    <w:rsid w:val="00032114"/>
    <w:rsid w:val="00045349"/>
    <w:rsid w:val="00065247"/>
    <w:rsid w:val="0007005C"/>
    <w:rsid w:val="00072474"/>
    <w:rsid w:val="00075014"/>
    <w:rsid w:val="000A1D53"/>
    <w:rsid w:val="000D3C2F"/>
    <w:rsid w:val="00102BF6"/>
    <w:rsid w:val="00105AED"/>
    <w:rsid w:val="00106E96"/>
    <w:rsid w:val="00157CD3"/>
    <w:rsid w:val="00165CB2"/>
    <w:rsid w:val="0017451F"/>
    <w:rsid w:val="00187344"/>
    <w:rsid w:val="001C4CE6"/>
    <w:rsid w:val="001F617A"/>
    <w:rsid w:val="0020687E"/>
    <w:rsid w:val="0021026A"/>
    <w:rsid w:val="00221F04"/>
    <w:rsid w:val="00230EC3"/>
    <w:rsid w:val="002345D1"/>
    <w:rsid w:val="00264772"/>
    <w:rsid w:val="00290467"/>
    <w:rsid w:val="002C7785"/>
    <w:rsid w:val="002E1EBC"/>
    <w:rsid w:val="00317307"/>
    <w:rsid w:val="00387E93"/>
    <w:rsid w:val="003A3115"/>
    <w:rsid w:val="003B7102"/>
    <w:rsid w:val="003C03C9"/>
    <w:rsid w:val="003C1EA9"/>
    <w:rsid w:val="003D222F"/>
    <w:rsid w:val="003D3493"/>
    <w:rsid w:val="003D5717"/>
    <w:rsid w:val="003D69D9"/>
    <w:rsid w:val="003E18F5"/>
    <w:rsid w:val="00407F8F"/>
    <w:rsid w:val="004174D7"/>
    <w:rsid w:val="00421083"/>
    <w:rsid w:val="00440853"/>
    <w:rsid w:val="00457D16"/>
    <w:rsid w:val="00476EC1"/>
    <w:rsid w:val="00481648"/>
    <w:rsid w:val="00484005"/>
    <w:rsid w:val="004A4A16"/>
    <w:rsid w:val="004B2AE8"/>
    <w:rsid w:val="004C0563"/>
    <w:rsid w:val="004E0608"/>
    <w:rsid w:val="004F38AA"/>
    <w:rsid w:val="00524B52"/>
    <w:rsid w:val="0059796A"/>
    <w:rsid w:val="005E255A"/>
    <w:rsid w:val="005E4D89"/>
    <w:rsid w:val="005E7786"/>
    <w:rsid w:val="0061465E"/>
    <w:rsid w:val="00631EA6"/>
    <w:rsid w:val="006571EF"/>
    <w:rsid w:val="00672E04"/>
    <w:rsid w:val="00693022"/>
    <w:rsid w:val="006A0A48"/>
    <w:rsid w:val="006A7A1D"/>
    <w:rsid w:val="006B1D57"/>
    <w:rsid w:val="006C79C2"/>
    <w:rsid w:val="006D67FD"/>
    <w:rsid w:val="006E032F"/>
    <w:rsid w:val="00750E81"/>
    <w:rsid w:val="007B7AFB"/>
    <w:rsid w:val="007D4351"/>
    <w:rsid w:val="007E741F"/>
    <w:rsid w:val="007F591F"/>
    <w:rsid w:val="008123C9"/>
    <w:rsid w:val="008134DE"/>
    <w:rsid w:val="00822CA2"/>
    <w:rsid w:val="00835EFA"/>
    <w:rsid w:val="00891029"/>
    <w:rsid w:val="008A4B41"/>
    <w:rsid w:val="008C0623"/>
    <w:rsid w:val="008C0CE0"/>
    <w:rsid w:val="008D2AB0"/>
    <w:rsid w:val="008E51E8"/>
    <w:rsid w:val="00910ED7"/>
    <w:rsid w:val="009174E2"/>
    <w:rsid w:val="0093201C"/>
    <w:rsid w:val="0094189A"/>
    <w:rsid w:val="0095531B"/>
    <w:rsid w:val="009562AF"/>
    <w:rsid w:val="0096265D"/>
    <w:rsid w:val="00964963"/>
    <w:rsid w:val="00990EC3"/>
    <w:rsid w:val="009943C8"/>
    <w:rsid w:val="009E1781"/>
    <w:rsid w:val="009F67CA"/>
    <w:rsid w:val="00A36EE7"/>
    <w:rsid w:val="00A4098A"/>
    <w:rsid w:val="00A526F7"/>
    <w:rsid w:val="00A7735A"/>
    <w:rsid w:val="00A872D0"/>
    <w:rsid w:val="00A94F5B"/>
    <w:rsid w:val="00A9774B"/>
    <w:rsid w:val="00AA4771"/>
    <w:rsid w:val="00AB222A"/>
    <w:rsid w:val="00AB6DB8"/>
    <w:rsid w:val="00AB7292"/>
    <w:rsid w:val="00AD7D25"/>
    <w:rsid w:val="00B1091B"/>
    <w:rsid w:val="00B11D4E"/>
    <w:rsid w:val="00B27CE8"/>
    <w:rsid w:val="00B40779"/>
    <w:rsid w:val="00B50EFC"/>
    <w:rsid w:val="00B827B4"/>
    <w:rsid w:val="00B94504"/>
    <w:rsid w:val="00BB7DC8"/>
    <w:rsid w:val="00BE6A69"/>
    <w:rsid w:val="00BE7ECA"/>
    <w:rsid w:val="00BF33B2"/>
    <w:rsid w:val="00C06047"/>
    <w:rsid w:val="00C21E08"/>
    <w:rsid w:val="00C339B7"/>
    <w:rsid w:val="00C57B17"/>
    <w:rsid w:val="00C60C27"/>
    <w:rsid w:val="00C668D6"/>
    <w:rsid w:val="00C76F21"/>
    <w:rsid w:val="00C93010"/>
    <w:rsid w:val="00CA55EF"/>
    <w:rsid w:val="00CA651D"/>
    <w:rsid w:val="00CB3C2B"/>
    <w:rsid w:val="00CD20ED"/>
    <w:rsid w:val="00D20C7A"/>
    <w:rsid w:val="00D33CA1"/>
    <w:rsid w:val="00D366C8"/>
    <w:rsid w:val="00D5108A"/>
    <w:rsid w:val="00D56C12"/>
    <w:rsid w:val="00DC08D6"/>
    <w:rsid w:val="00DC33CA"/>
    <w:rsid w:val="00DF5472"/>
    <w:rsid w:val="00E045B1"/>
    <w:rsid w:val="00E1196C"/>
    <w:rsid w:val="00E20742"/>
    <w:rsid w:val="00EA0C1E"/>
    <w:rsid w:val="00EC199B"/>
    <w:rsid w:val="00F01DC3"/>
    <w:rsid w:val="00F17C0D"/>
    <w:rsid w:val="00F244BE"/>
    <w:rsid w:val="00F254F9"/>
    <w:rsid w:val="00F367A8"/>
    <w:rsid w:val="00F54401"/>
    <w:rsid w:val="00F927BC"/>
    <w:rsid w:val="00FA08FC"/>
    <w:rsid w:val="00FB20C8"/>
    <w:rsid w:val="00FB6932"/>
    <w:rsid w:val="00FC35B1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4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927B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927BC"/>
  </w:style>
  <w:style w:type="character" w:styleId="a5">
    <w:name w:val="Hyperlink"/>
    <w:basedOn w:val="a0"/>
    <w:uiPriority w:val="99"/>
    <w:unhideWhenUsed/>
    <w:rsid w:val="00FF6661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5717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3D5717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3D5717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D5717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3D5717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3D571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D5717"/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B9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B94504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B9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B94504"/>
    <w:rPr>
      <w:sz w:val="18"/>
      <w:szCs w:val="18"/>
    </w:rPr>
  </w:style>
  <w:style w:type="table" w:styleId="ac">
    <w:name w:val="Table Grid"/>
    <w:basedOn w:val="a1"/>
    <w:uiPriority w:val="39"/>
    <w:rsid w:val="0063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4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927B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927BC"/>
  </w:style>
  <w:style w:type="character" w:styleId="a5">
    <w:name w:val="Hyperlink"/>
    <w:basedOn w:val="a0"/>
    <w:uiPriority w:val="99"/>
    <w:unhideWhenUsed/>
    <w:rsid w:val="00FF6661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5717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3D5717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3D5717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D5717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3D5717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3D571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D5717"/>
    <w:rPr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B9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B94504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B9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B94504"/>
    <w:rPr>
      <w:sz w:val="18"/>
      <w:szCs w:val="18"/>
    </w:rPr>
  </w:style>
  <w:style w:type="table" w:styleId="ac">
    <w:name w:val="Table Grid"/>
    <w:basedOn w:val="a1"/>
    <w:uiPriority w:val="39"/>
    <w:rsid w:val="0063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4F74-93C7-44A2-867F-BCE3F170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Fan</dc:creator>
  <cp:lastModifiedBy>刘菲</cp:lastModifiedBy>
  <cp:revision>22</cp:revision>
  <dcterms:created xsi:type="dcterms:W3CDTF">2017-01-24T01:21:00Z</dcterms:created>
  <dcterms:modified xsi:type="dcterms:W3CDTF">2018-12-10T09:11:00Z</dcterms:modified>
</cp:coreProperties>
</file>