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充电柜（集成式） 技术规格书</w:t>
      </w:r>
    </w:p>
    <w:tbl>
      <w:tblPr>
        <w:tblStyle w:val="23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8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drawing>
                <wp:inline distT="0" distB="0" distL="114300" distR="114300">
                  <wp:extent cx="2224405" cy="2960370"/>
                  <wp:effectExtent l="0" t="0" r="4445" b="11430"/>
                  <wp:docPr id="9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405" cy="296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5"/>
        <w:bidi w:val="0"/>
      </w:pPr>
      <w:bookmarkStart w:id="23" w:name="_GoBack"/>
      <w:bookmarkEnd w:id="23"/>
      <w:r>
        <w:rPr>
          <w:rFonts w:hint="eastAsia"/>
          <w:lang w:val="en-US" w:eastAsia="zh-CN"/>
        </w:rPr>
        <w:t>充电柜</w:t>
      </w:r>
      <w:r>
        <w:t>用途</w:t>
      </w:r>
    </w:p>
    <w:p>
      <w:pPr>
        <w:pStyle w:val="46"/>
        <w:bidi w:val="0"/>
      </w:pPr>
      <w:r>
        <w:rPr>
          <w:rFonts w:hint="eastAsia"/>
        </w:rPr>
        <w:t>产品用于陆军实兵交战系统内终端锂电池集中充电。</w:t>
      </w:r>
    </w:p>
    <w:p>
      <w:pPr>
        <w:pStyle w:val="35"/>
        <w:bidi w:val="0"/>
      </w:pPr>
      <w:r>
        <w:rPr>
          <w:rFonts w:hint="eastAsia"/>
          <w:lang w:val="en-US" w:eastAsia="zh-CN"/>
        </w:rPr>
        <w:t>充电柜</w:t>
      </w:r>
      <w:r>
        <w:t>组成</w:t>
      </w:r>
    </w:p>
    <w:p>
      <w:pPr>
        <w:pStyle w:val="46"/>
        <w:bidi w:val="0"/>
      </w:pPr>
      <w:bookmarkStart w:id="0" w:name="_Toc22379507"/>
      <w:bookmarkStart w:id="1" w:name="_Toc19102411"/>
      <w:r>
        <w:t>产品主要由可移动式充电柜组成。</w:t>
      </w:r>
    </w:p>
    <w:p>
      <w:pPr>
        <w:pStyle w:val="35"/>
        <w:bidi w:val="0"/>
      </w:pPr>
      <w:r>
        <w:rPr>
          <w:rFonts w:hint="eastAsia"/>
          <w:lang w:val="en-US" w:eastAsia="zh-CN"/>
        </w:rPr>
        <w:t>充电柜功能</w:t>
      </w:r>
    </w:p>
    <w:p>
      <w:pPr>
        <w:pStyle w:val="37"/>
        <w:bidi w:val="0"/>
      </w:pPr>
      <w:bookmarkStart w:id="2" w:name="_Toc22374947"/>
      <w:bookmarkStart w:id="3" w:name="_Toc19101598"/>
      <w:r>
        <w:t>锂电池集中充电</w:t>
      </w:r>
      <w:bookmarkEnd w:id="2"/>
      <w:bookmarkEnd w:id="3"/>
    </w:p>
    <w:p>
      <w:pPr>
        <w:pStyle w:val="40"/>
        <w:numPr>
          <w:ilvl w:val="0"/>
          <w:numId w:val="9"/>
        </w:numPr>
        <w:bidi w:val="0"/>
      </w:pPr>
      <w:r>
        <w:t>支持3种锂电池集中充电，包括14500、18650和直流电源等型号锂电池；</w:t>
      </w:r>
    </w:p>
    <w:p>
      <w:pPr>
        <w:pStyle w:val="40"/>
        <w:numPr>
          <w:ilvl w:val="0"/>
          <w:numId w:val="9"/>
        </w:numPr>
        <w:bidi w:val="0"/>
      </w:pPr>
      <w:r>
        <w:t>产品对锂电池充电时满足以下要求：</w:t>
      </w:r>
    </w:p>
    <w:p>
      <w:pPr>
        <w:pStyle w:val="46"/>
        <w:numPr>
          <w:ilvl w:val="0"/>
          <w:numId w:val="10"/>
        </w:numPr>
        <w:bidi w:val="0"/>
      </w:pPr>
      <w:r>
        <w:t>充电方式：恒流恒压；</w:t>
      </w:r>
    </w:p>
    <w:p>
      <w:pPr>
        <w:pStyle w:val="46"/>
        <w:numPr>
          <w:ilvl w:val="0"/>
          <w:numId w:val="10"/>
        </w:numPr>
        <w:bidi w:val="0"/>
      </w:pPr>
      <w:r>
        <w:t>具有充电指示功能：无电池时，LED闪烁；充电时，LED亮红色；充满时：LED亮绿色；断电时，LED灯灭。</w:t>
      </w:r>
    </w:p>
    <w:p>
      <w:pPr>
        <w:pStyle w:val="40"/>
        <w:numPr>
          <w:ilvl w:val="0"/>
          <w:numId w:val="9"/>
        </w:numPr>
        <w:bidi w:val="0"/>
      </w:pPr>
      <w:r>
        <w:t>产品对14500锂电池充电时满足以下要求：</w:t>
      </w:r>
    </w:p>
    <w:p>
      <w:pPr>
        <w:pStyle w:val="46"/>
        <w:numPr>
          <w:ilvl w:val="0"/>
          <w:numId w:val="11"/>
        </w:numPr>
        <w:bidi w:val="0"/>
      </w:pPr>
      <w:r>
        <w:t>充电电压：4.2V±0.05；</w:t>
      </w:r>
    </w:p>
    <w:p>
      <w:pPr>
        <w:pStyle w:val="46"/>
        <w:numPr>
          <w:ilvl w:val="0"/>
          <w:numId w:val="11"/>
        </w:numPr>
        <w:bidi w:val="0"/>
      </w:pPr>
      <w:r>
        <w:t>充电电流：0.4A±0.05；</w:t>
      </w:r>
    </w:p>
    <w:p>
      <w:pPr>
        <w:pStyle w:val="46"/>
        <w:numPr>
          <w:ilvl w:val="0"/>
          <w:numId w:val="11"/>
        </w:numPr>
        <w:bidi w:val="0"/>
      </w:pPr>
      <w:r>
        <w:rPr>
          <w:rFonts w:hint="eastAsia"/>
        </w:rPr>
        <w:t>截止</w:t>
      </w:r>
      <w:r>
        <w:t>电流：0.05A。</w:t>
      </w:r>
    </w:p>
    <w:p>
      <w:pPr>
        <w:pStyle w:val="40"/>
        <w:numPr>
          <w:ilvl w:val="0"/>
          <w:numId w:val="9"/>
        </w:numPr>
        <w:bidi w:val="0"/>
      </w:pPr>
      <w:r>
        <w:t>产品对18650锂电池充电时满足以下要求：</w:t>
      </w:r>
    </w:p>
    <w:p>
      <w:pPr>
        <w:pStyle w:val="46"/>
        <w:numPr>
          <w:ilvl w:val="0"/>
          <w:numId w:val="11"/>
        </w:numPr>
        <w:bidi w:val="0"/>
      </w:pPr>
      <w:r>
        <w:t>充电电压：4.2V±0.05；</w:t>
      </w:r>
    </w:p>
    <w:p>
      <w:pPr>
        <w:pStyle w:val="46"/>
        <w:numPr>
          <w:ilvl w:val="0"/>
          <w:numId w:val="11"/>
        </w:numPr>
        <w:bidi w:val="0"/>
      </w:pPr>
      <w:r>
        <w:t>充电电流：0.8A±0.05；</w:t>
      </w:r>
    </w:p>
    <w:p>
      <w:pPr>
        <w:pStyle w:val="46"/>
        <w:numPr>
          <w:ilvl w:val="0"/>
          <w:numId w:val="11"/>
        </w:numPr>
        <w:bidi w:val="0"/>
      </w:pPr>
      <w:r>
        <w:rPr>
          <w:rFonts w:hint="eastAsia"/>
        </w:rPr>
        <w:t>截止</w:t>
      </w:r>
      <w:r>
        <w:t>电流：0.05A。</w:t>
      </w:r>
    </w:p>
    <w:p>
      <w:pPr>
        <w:pStyle w:val="40"/>
        <w:numPr>
          <w:ilvl w:val="0"/>
          <w:numId w:val="9"/>
        </w:numPr>
        <w:bidi w:val="0"/>
      </w:pPr>
      <w:r>
        <w:t>产品对直流电源充电时满足以下要求：</w:t>
      </w:r>
    </w:p>
    <w:p>
      <w:pPr>
        <w:pStyle w:val="46"/>
        <w:numPr>
          <w:ilvl w:val="0"/>
          <w:numId w:val="11"/>
        </w:numPr>
        <w:bidi w:val="0"/>
      </w:pPr>
      <w:r>
        <w:rPr>
          <w:rFonts w:cs="Calibri"/>
        </w:rPr>
        <w:t>充电电压</w:t>
      </w:r>
      <w:r>
        <w:t>：16.8V±0.2；</w:t>
      </w:r>
    </w:p>
    <w:p>
      <w:pPr>
        <w:pStyle w:val="46"/>
        <w:numPr>
          <w:ilvl w:val="0"/>
          <w:numId w:val="11"/>
        </w:numPr>
        <w:bidi w:val="0"/>
      </w:pPr>
      <w:r>
        <w:t>充电电流：1A±0.1；</w:t>
      </w:r>
    </w:p>
    <w:p>
      <w:pPr>
        <w:pStyle w:val="46"/>
        <w:numPr>
          <w:ilvl w:val="0"/>
          <w:numId w:val="11"/>
        </w:numPr>
        <w:bidi w:val="0"/>
        <w:rPr>
          <w:rFonts w:cs="Calibri"/>
        </w:rPr>
      </w:pPr>
      <w:r>
        <w:rPr>
          <w:rFonts w:hint="eastAsia"/>
        </w:rPr>
        <w:t>截止</w:t>
      </w:r>
      <w:r>
        <w:t>电流：0.1A。</w:t>
      </w:r>
    </w:p>
    <w:p>
      <w:pPr>
        <w:pStyle w:val="40"/>
        <w:numPr>
          <w:ilvl w:val="0"/>
          <w:numId w:val="9"/>
        </w:numPr>
        <w:bidi w:val="0"/>
      </w:pPr>
      <w:r>
        <w:t>产品单次同时充电电池数量</w:t>
      </w:r>
      <w:r>
        <w:rPr>
          <w:rFonts w:hint="eastAsia"/>
          <w:lang w:eastAsia="zh-CN"/>
        </w:rPr>
        <w:t>：</w:t>
      </w:r>
      <w:r>
        <w:t>150节。</w:t>
      </w:r>
    </w:p>
    <w:p>
      <w:pPr>
        <w:pStyle w:val="37"/>
        <w:bidi w:val="0"/>
      </w:pPr>
      <w:bookmarkStart w:id="4" w:name="_Toc19101599"/>
      <w:bookmarkStart w:id="5" w:name="_Toc22374948"/>
      <w:r>
        <w:t>重量</w:t>
      </w:r>
      <w:bookmarkEnd w:id="4"/>
      <w:bookmarkEnd w:id="5"/>
    </w:p>
    <w:p>
      <w:pPr>
        <w:pStyle w:val="46"/>
        <w:bidi w:val="0"/>
      </w:pPr>
      <w:r>
        <w:t>移动式充电柜重量</w:t>
      </w:r>
      <w:r>
        <w:rPr>
          <w:rFonts w:hint="eastAsia"/>
          <w:lang w:eastAsia="zh-CN"/>
        </w:rPr>
        <w:t>：</w:t>
      </w:r>
      <w:r>
        <w:t>120kg。</w:t>
      </w:r>
    </w:p>
    <w:p>
      <w:pPr>
        <w:pStyle w:val="37"/>
        <w:bidi w:val="0"/>
      </w:pPr>
      <w:bookmarkStart w:id="6" w:name="_Toc19101600"/>
      <w:bookmarkStart w:id="7" w:name="_Toc22374949"/>
      <w:r>
        <w:t>尺寸</w:t>
      </w:r>
      <w:bookmarkEnd w:id="6"/>
      <w:bookmarkEnd w:id="7"/>
    </w:p>
    <w:p>
      <w:pPr>
        <w:pStyle w:val="46"/>
        <w:bidi w:val="0"/>
      </w:pPr>
      <w:r>
        <w:t>充电柜尺寸：(1920±30mm)*(945±30mm)*(430±30mm)。</w:t>
      </w:r>
    </w:p>
    <w:bookmarkEnd w:id="0"/>
    <w:bookmarkEnd w:id="1"/>
    <w:p>
      <w:pPr>
        <w:pStyle w:val="35"/>
        <w:bidi w:val="0"/>
      </w:pPr>
      <w:bookmarkStart w:id="8" w:name="_Toc22379511"/>
      <w:bookmarkStart w:id="9" w:name="_Toc19102415"/>
      <w:r>
        <w:rPr>
          <w:rFonts w:hint="eastAsia"/>
        </w:rPr>
        <w:t>六性</w:t>
      </w:r>
      <w:r>
        <w:rPr>
          <w:rFonts w:hint="eastAsia"/>
          <w:lang w:eastAsia="zh-CN"/>
        </w:rPr>
        <w:t>指标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可靠性</w:t>
      </w:r>
    </w:p>
    <w:p>
      <w:pPr>
        <w:bidi w:val="0"/>
        <w:ind w:firstLine="560" w:firstLineChars="200"/>
      </w:pPr>
      <w:r>
        <w:rPr>
          <w:rFonts w:hint="eastAsia"/>
        </w:rPr>
        <w:t>MTBF≥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00h。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维修性</w:t>
      </w:r>
    </w:p>
    <w:p>
      <w:pPr>
        <w:bidi w:val="0"/>
        <w:ind w:firstLine="560" w:firstLineChars="200"/>
      </w:pPr>
      <w:r>
        <w:rPr>
          <w:rFonts w:hint="eastAsia"/>
        </w:rPr>
        <w:t>MTTR≤30min。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保障性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</w:rPr>
      </w:pPr>
      <w:r>
        <w:rPr>
          <w:rFonts w:hint="eastAsia"/>
        </w:rPr>
        <w:t>各类模拟终端提供运输和存储包装箱，包装箱可通过人工方式装载。终端拆卸安装、调试校正、维护保养操作简单快捷，结合时紧密牢固。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</w:rPr>
      </w:pPr>
      <w:r>
        <w:rPr>
          <w:rFonts w:hint="eastAsia"/>
        </w:rPr>
        <w:t>提供设备维护与保养必须的工具</w:t>
      </w:r>
      <w:r>
        <w:rPr>
          <w:rFonts w:hint="eastAsia"/>
          <w:lang w:eastAsia="zh-CN"/>
        </w:rPr>
        <w:t>（维修专用工具比例</w:t>
      </w:r>
      <w:r>
        <w:rPr>
          <w:rFonts w:hint="eastAsia"/>
          <w:lang w:val="en-US" w:eastAsia="zh-CN"/>
        </w:rPr>
        <w:t>1%</w:t>
      </w:r>
      <w:r>
        <w:rPr>
          <w:rFonts w:hint="eastAsia"/>
          <w:lang w:eastAsia="zh-CN"/>
        </w:rPr>
        <w:t>）。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</w:rPr>
      </w:pPr>
      <w:r>
        <w:rPr>
          <w:rFonts w:hint="eastAsia"/>
        </w:rPr>
        <w:t>使用说明书中明确产品必要的维护措施和方法、充电维护周期等事项，同期提供系统软件和硬件设备使用教材，包括</w:t>
      </w:r>
      <w:r>
        <w:rPr>
          <w:rFonts w:hint="eastAsia"/>
          <w:lang w:eastAsia="zh-CN"/>
        </w:rPr>
        <w:t>用户手册</w:t>
      </w:r>
      <w:r>
        <w:rPr>
          <w:rFonts w:hint="eastAsia"/>
        </w:rPr>
        <w:t>、</w:t>
      </w:r>
      <w:r>
        <w:rPr>
          <w:rFonts w:hint="eastAsia"/>
          <w:lang w:eastAsia="zh-CN"/>
        </w:rPr>
        <w:t>维护手册（包含</w:t>
      </w:r>
      <w:r>
        <w:rPr>
          <w:rFonts w:hint="eastAsia"/>
        </w:rPr>
        <w:t>现地级和基地级二级维修方案内容</w:t>
      </w:r>
      <w:r>
        <w:rPr>
          <w:rFonts w:hint="eastAsia"/>
          <w:lang w:eastAsia="zh-CN"/>
        </w:rPr>
        <w:t>，规模保障维护人员</w:t>
      </w:r>
      <w:r>
        <w:rPr>
          <w:rFonts w:hint="eastAsia"/>
          <w:lang w:val="en-US" w:eastAsia="zh-CN"/>
        </w:rPr>
        <w:t>15-20人</w:t>
      </w:r>
      <w:r>
        <w:rPr>
          <w:rFonts w:hint="eastAsia"/>
          <w:lang w:eastAsia="zh-CN"/>
        </w:rPr>
        <w:t>），及产品合格证、装箱清单、履历表</w:t>
      </w:r>
      <w:r>
        <w:rPr>
          <w:rFonts w:hint="eastAsia"/>
        </w:rPr>
        <w:t>。</w:t>
      </w:r>
    </w:p>
    <w:p>
      <w:pPr>
        <w:numPr>
          <w:ilvl w:val="0"/>
          <w:numId w:val="12"/>
        </w:numPr>
        <w:adjustRightInd w:val="0"/>
        <w:spacing w:line="579" w:lineRule="exact"/>
        <w:ind w:left="420" w:leftChars="0" w:hanging="42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配套专用的集中充放电设备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12"/>
        </w:numPr>
        <w:ind w:left="420" w:leftChars="0" w:hanging="420" w:firstLineChars="0"/>
      </w:pPr>
      <w:r>
        <w:rPr>
          <w:rFonts w:hint="eastAsia" w:ascii="宋体" w:hAnsi="宋体"/>
          <w:sz w:val="28"/>
          <w:szCs w:val="28"/>
        </w:rPr>
        <w:t>配套仓储信息化管理系统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37"/>
        <w:bidi w:val="0"/>
      </w:pPr>
      <w:r>
        <w:rPr>
          <w:rFonts w:hint="eastAsia"/>
        </w:rPr>
        <w:t>测试性</w:t>
      </w:r>
    </w:p>
    <w:p>
      <w:pPr>
        <w:numPr>
          <w:ilvl w:val="0"/>
          <w:numId w:val="12"/>
        </w:numPr>
        <w:bidi w:val="0"/>
      </w:pPr>
      <w:r>
        <w:t>具有开机自检功能，检测内容包括火工品安装检测、定位状态检测等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产品能根据故障检测设备的测试指令自动完成故障定位输出，虚警率2%；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产品故障隔离率95%。</w:t>
      </w:r>
    </w:p>
    <w:p>
      <w:pPr>
        <w:pStyle w:val="37"/>
        <w:bidi w:val="0"/>
      </w:pPr>
      <w:r>
        <w:rPr>
          <w:rFonts w:hint="eastAsia"/>
        </w:rPr>
        <w:t>安全性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产品具有激光安全专用标识，标识内容与格式应符合《GB  7247.1-2012/激光产品的安全/第1 部分设备分类、要求》中第 5 部分“标记”相关要求,产品激光发射口有明显安全标识；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产品符合相应人眼危害距离要求；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产品火工品安装处有安全警示标志和操作规程；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声光弹发射后不产生粉碎性变化；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烟雾罐发烟时出烟柔和，不产生爆炸、不散射；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烟雾罐发烟时无明火、不燃烧，底部不出烟；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发射弹和烟雾罐引燃后电阻丝熔断，不存在低阻连接现象；</w:t>
      </w:r>
    </w:p>
    <w:p>
      <w:pPr>
        <w:pStyle w:val="2"/>
        <w:numPr>
          <w:ilvl w:val="0"/>
          <w:numId w:val="1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</w:rPr>
        <w:t>模拟交战终端上安装的激光发射装置按使用要求严格控制发射功率，标注安全警示标识，防止对人眼造成伤害。电气布线应考虑强、弱电分离，设备运输与储存包装箱应标识最大堆码层数。相关强电使用设备的绝缘电阻和介电常数满足</w:t>
      </w:r>
      <w:r>
        <w:t>GJB367A-2001</w:t>
      </w:r>
      <w:r>
        <w:rPr>
          <w:rFonts w:hint="eastAsia"/>
        </w:rPr>
        <w:t>《军用通信设备通用规范》</w:t>
      </w:r>
      <w:r>
        <w:t>3.13</w:t>
      </w:r>
      <w:r>
        <w:rPr>
          <w:rFonts w:hint="eastAsia"/>
        </w:rPr>
        <w:t>规定的要求。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环境适应性</w:t>
      </w:r>
    </w:p>
    <w:p>
      <w:pPr>
        <w:pStyle w:val="38"/>
        <w:bidi w:val="0"/>
      </w:pPr>
      <w:r>
        <w:rPr>
          <w:rFonts w:hint="eastAsia"/>
        </w:rPr>
        <w:t>低温工作</w:t>
      </w:r>
    </w:p>
    <w:p>
      <w:pPr>
        <w:pStyle w:val="46"/>
        <w:bidi w:val="0"/>
      </w:pPr>
      <w:r>
        <w:rPr>
          <w:rFonts w:hint="eastAsia"/>
        </w:rPr>
        <w:t>产品满足：产品在-20℃环境温度下连续工作4小时，工作期间产品功能正常。</w:t>
      </w:r>
    </w:p>
    <w:p>
      <w:pPr>
        <w:pStyle w:val="38"/>
        <w:bidi w:val="0"/>
      </w:pPr>
      <w:r>
        <w:rPr>
          <w:rFonts w:hint="eastAsia"/>
        </w:rPr>
        <w:t>低温贮存</w:t>
      </w:r>
    </w:p>
    <w:p>
      <w:pPr>
        <w:pStyle w:val="46"/>
        <w:bidi w:val="0"/>
      </w:pPr>
      <w:r>
        <w:rPr>
          <w:rFonts w:hint="eastAsia"/>
        </w:rPr>
        <w:t>产品在-30℃环境温度下连续贮存12小时后再将产品置于正常环境条件下，达到温度稳定后，产品的功能正常。</w:t>
      </w:r>
    </w:p>
    <w:p>
      <w:pPr>
        <w:pStyle w:val="38"/>
        <w:bidi w:val="0"/>
      </w:pPr>
      <w:r>
        <w:rPr>
          <w:rFonts w:hint="eastAsia"/>
        </w:rPr>
        <w:t>高温工作</w:t>
      </w:r>
    </w:p>
    <w:p>
      <w:pPr>
        <w:pStyle w:val="46"/>
        <w:bidi w:val="0"/>
      </w:pPr>
      <w:r>
        <w:rPr>
          <w:rFonts w:hint="eastAsia"/>
        </w:rPr>
        <w:t>产品在60℃环境温度下连续工作4小时，工作期间产品功能正常。</w:t>
      </w:r>
    </w:p>
    <w:p>
      <w:pPr>
        <w:pStyle w:val="38"/>
        <w:bidi w:val="0"/>
      </w:pPr>
      <w:r>
        <w:rPr>
          <w:rFonts w:hint="eastAsia"/>
        </w:rPr>
        <w:t>高温贮存</w:t>
      </w:r>
    </w:p>
    <w:p>
      <w:pPr>
        <w:pStyle w:val="46"/>
        <w:bidi w:val="0"/>
      </w:pPr>
      <w:r>
        <w:rPr>
          <w:rFonts w:hint="eastAsia"/>
        </w:rPr>
        <w:t>产品在70℃环境温度下连续贮存12小时后再将产品置于正常环境条件下，达到温度稳定后，产品的功能正常。</w:t>
      </w:r>
    </w:p>
    <w:p>
      <w:pPr>
        <w:pStyle w:val="38"/>
        <w:bidi w:val="0"/>
      </w:pPr>
      <w:r>
        <w:rPr>
          <w:rFonts w:hint="eastAsia"/>
        </w:rPr>
        <w:t>运输振动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在模拟三级公路试验台上振动0.5h后能正常工作。</w:t>
      </w:r>
    </w:p>
    <w:p>
      <w:pPr>
        <w:pStyle w:val="38"/>
        <w:bidi w:val="0"/>
      </w:pPr>
      <w:r>
        <w:rPr>
          <w:rFonts w:hint="eastAsia"/>
        </w:rPr>
        <w:t>冲击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在加速度15g、半正弦波脉冲宽度11ms的冲击条件下，沿X（</w:t>
      </w:r>
      <w:r>
        <w:rPr>
          <w:rFonts w:hint="eastAsia"/>
          <w:lang w:eastAsia="zh-CN"/>
        </w:rPr>
        <w:t>设备终端</w:t>
      </w:r>
      <w:r>
        <w:rPr>
          <w:rFonts w:hint="eastAsia"/>
        </w:rPr>
        <w:t>安装方向）、Y（</w:t>
      </w:r>
      <w:r>
        <w:rPr>
          <w:rFonts w:hint="eastAsia"/>
          <w:lang w:eastAsia="zh-CN"/>
        </w:rPr>
        <w:t>设备终端</w:t>
      </w:r>
      <w:r>
        <w:rPr>
          <w:rFonts w:hint="eastAsia"/>
        </w:rPr>
        <w:t>安装侧向）方向各冲击3次，试验后能正常工作。</w:t>
      </w:r>
    </w:p>
    <w:p>
      <w:pPr>
        <w:pStyle w:val="38"/>
        <w:bidi w:val="0"/>
      </w:pPr>
      <w:r>
        <w:rPr>
          <w:rFonts w:hint="eastAsia"/>
        </w:rPr>
        <w:t>防雨淋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在雨量100mm/h的条件下持续雨淋0.5h后能正常工作。</w:t>
      </w:r>
    </w:p>
    <w:p>
      <w:pPr>
        <w:pStyle w:val="38"/>
        <w:bidi w:val="0"/>
      </w:pPr>
      <w:r>
        <w:rPr>
          <w:rFonts w:hint="eastAsia"/>
        </w:rPr>
        <w:t>沙尘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满足GB/T4208-2017《外壳防护等级（IP代码）》中IP6X防护等级要求。</w:t>
      </w:r>
    </w:p>
    <w:bookmarkEnd w:id="8"/>
    <w:bookmarkEnd w:id="9"/>
    <w:p>
      <w:pPr>
        <w:pStyle w:val="35"/>
        <w:bidi w:val="0"/>
      </w:pPr>
      <w:bookmarkStart w:id="10" w:name="_Toc22376455"/>
      <w:bookmarkStart w:id="11" w:name="_Toc20344090"/>
      <w:bookmarkStart w:id="12" w:name="_Toc20238393"/>
      <w:bookmarkStart w:id="13" w:name="_Toc19102429"/>
      <w:bookmarkStart w:id="14" w:name="_Toc22379525"/>
      <w:bookmarkStart w:id="15" w:name="_Toc8916849"/>
      <w:r>
        <w:rPr>
          <w:rFonts w:hint="eastAsia"/>
        </w:rPr>
        <w:t>扩展性</w:t>
      </w:r>
      <w:bookmarkEnd w:id="10"/>
      <w:bookmarkEnd w:id="11"/>
      <w:bookmarkEnd w:id="12"/>
    </w:p>
    <w:p>
      <w:pPr>
        <w:pStyle w:val="46"/>
        <w:bidi w:val="0"/>
      </w:pPr>
      <w:r>
        <w:t>产品可扩展同类规格的充电单元。</w:t>
      </w:r>
    </w:p>
    <w:bookmarkEnd w:id="13"/>
    <w:bookmarkEnd w:id="14"/>
    <w:bookmarkEnd w:id="15"/>
    <w:p>
      <w:pPr>
        <w:pStyle w:val="35"/>
        <w:bidi w:val="0"/>
      </w:pPr>
      <w:bookmarkStart w:id="16" w:name="_Toc22376172"/>
      <w:bookmarkStart w:id="17" w:name="_Toc20341456"/>
      <w:bookmarkStart w:id="18" w:name="_Toc8723475"/>
      <w:r>
        <w:t>供电</w:t>
      </w:r>
      <w:bookmarkEnd w:id="16"/>
      <w:bookmarkEnd w:id="17"/>
      <w:bookmarkEnd w:id="18"/>
    </w:p>
    <w:p>
      <w:pPr>
        <w:pStyle w:val="40"/>
        <w:numPr>
          <w:ilvl w:val="0"/>
          <w:numId w:val="13"/>
        </w:numPr>
        <w:bidi w:val="0"/>
      </w:pPr>
      <w:r>
        <w:rPr>
          <w:rFonts w:cs="Calibri"/>
        </w:rPr>
        <w:t>产</w:t>
      </w:r>
      <w:r>
        <w:t>品采用市电供电；</w:t>
      </w:r>
    </w:p>
    <w:p>
      <w:pPr>
        <w:pStyle w:val="40"/>
        <w:numPr>
          <w:ilvl w:val="0"/>
          <w:numId w:val="13"/>
        </w:numPr>
        <w:bidi w:val="0"/>
      </w:pPr>
      <w:r>
        <w:t>产品最大功率：3300W。</w:t>
      </w:r>
    </w:p>
    <w:p>
      <w:pPr>
        <w:pStyle w:val="35"/>
        <w:bidi w:val="0"/>
      </w:pPr>
      <w:bookmarkStart w:id="19" w:name="_Toc20341457"/>
      <w:bookmarkStart w:id="20" w:name="_Toc22376173"/>
      <w:r>
        <w:t>安装使用</w:t>
      </w:r>
      <w:bookmarkEnd w:id="19"/>
      <w:bookmarkEnd w:id="20"/>
    </w:p>
    <w:p>
      <w:pPr>
        <w:pStyle w:val="40"/>
        <w:numPr>
          <w:ilvl w:val="0"/>
          <w:numId w:val="14"/>
        </w:numPr>
        <w:bidi w:val="0"/>
      </w:pPr>
      <w:bookmarkStart w:id="21" w:name="_Toc19102438"/>
      <w:bookmarkStart w:id="22" w:name="_Toc22379534"/>
      <w:r>
        <w:t>能直接使用；</w:t>
      </w:r>
    </w:p>
    <w:p>
      <w:pPr>
        <w:pStyle w:val="40"/>
        <w:numPr>
          <w:ilvl w:val="0"/>
          <w:numId w:val="14"/>
        </w:numPr>
        <w:bidi w:val="0"/>
      </w:pPr>
      <w:r>
        <w:t>产品安装滚轮，移动方便。</w:t>
      </w:r>
    </w:p>
    <w:p>
      <w:pPr>
        <w:pStyle w:val="35"/>
        <w:bidi w:val="0"/>
      </w:pPr>
      <w:r>
        <w:t>成套性</w:t>
      </w:r>
      <w:bookmarkEnd w:id="21"/>
      <w:bookmarkEnd w:id="22"/>
    </w:p>
    <w:tbl>
      <w:tblPr>
        <w:tblStyle w:val="2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019"/>
        <w:gridCol w:w="810"/>
        <w:gridCol w:w="951"/>
        <w:gridCol w:w="4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083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部件</w:t>
            </w:r>
          </w:p>
        </w:tc>
        <w:tc>
          <w:tcPr>
            <w:tcW w:w="834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6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45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083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可移动式充电柜</w:t>
            </w:r>
          </w:p>
        </w:tc>
        <w:tc>
          <w:tcPr>
            <w:tcW w:w="834" w:type="dxa"/>
            <w:tcBorders>
              <w:top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台</w:t>
            </w:r>
          </w:p>
        </w:tc>
        <w:tc>
          <w:tcPr>
            <w:tcW w:w="450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运输包装箱</w:t>
            </w:r>
          </w:p>
        </w:tc>
        <w:tc>
          <w:tcPr>
            <w:tcW w:w="834" w:type="dxa"/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个</w:t>
            </w:r>
          </w:p>
        </w:tc>
        <w:tc>
          <w:tcPr>
            <w:tcW w:w="4505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083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产品资料</w:t>
            </w:r>
          </w:p>
        </w:tc>
        <w:tc>
          <w:tcPr>
            <w:tcW w:w="834" w:type="dxa"/>
            <w:tcBorders>
              <w:bottom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套</w:t>
            </w:r>
          </w:p>
        </w:tc>
        <w:tc>
          <w:tcPr>
            <w:tcW w:w="45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pStyle w:val="57"/>
              <w:ind w:right="-105" w:firstLine="0" w:firstLineChars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含使用说明书、合格证、装箱清单、履历表</w:t>
            </w:r>
          </w:p>
        </w:tc>
      </w:tr>
    </w:tbl>
    <w:p/>
    <w:p>
      <w:pPr>
        <w:pStyle w:val="46"/>
        <w:bidi w:val="0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0">
      <wne:acd wne:acdName="acd6"/>
    </wne:keymap>
    <wne:keymap wne:kcmPrimary="0627">
      <wne:acd wne:acdName="acd7"/>
    </wne:keymap>
  </wne:keymaps>
  <wne:acds>
    <wne:acd wne:argValue="AgBqAHAAAE6nfgdomJg=" wne:acdName="acd0" wne:fciIndexBasedOn="0065"/>
    <wne:acd wne:argValue="AgBqAHAAjE6nfgdomJg=" wne:acdName="acd1" wne:fciIndexBasedOn="0065"/>
    <wne:acd wne:argValue="AgBqAHAACU6nfgdomJg=" wne:acdName="acd2" wne:fciIndexBasedOn="0065"/>
    <wne:acd wne:argValue="AgBqAHAA21anfgdomJg=" wne:acdName="acd3" wne:fciIndexBasedOn="0065"/>
    <wne:acd wne:argValue="AgBqAHAAlE6nfgdomJg=" wne:acdName="acd4" wne:fciIndexBasedOn="0065"/>
    <wne:acd wne:argValue="AgBqAHAAbVGnfgdomJg=" wne:acdName="acd5" wne:fciIndexBasedOn="0065"/>
    <wne:acd wne:argValue="AgBqAHAAY2uHZeBlKX/bjw==" wne:acdName="acd6" wne:fciIndexBasedOn="0065"/>
    <wne:acd wne:argValue="AgBqAHAAY2uHZSl/248=" wne:acdName="acd7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6048D3"/>
    <w:multiLevelType w:val="multilevel"/>
    <w:tmpl w:val="8A6048D3"/>
    <w:lvl w:ilvl="0" w:tentative="0">
      <w:start w:val="1"/>
      <w:numFmt w:val="decimal"/>
      <w:pStyle w:val="36"/>
      <w:suff w:val="space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sz w:val="44"/>
      </w:rPr>
    </w:lvl>
    <w:lvl w:ilvl="1" w:tentative="0">
      <w:start w:val="1"/>
      <w:numFmt w:val="decimal"/>
      <w:pStyle w:val="28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44"/>
      </w:rPr>
    </w:lvl>
    <w:lvl w:ilvl="2" w:tentative="0">
      <w:start w:val="1"/>
      <w:numFmt w:val="decimal"/>
      <w:pStyle w:val="30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32"/>
      </w:rPr>
    </w:lvl>
    <w:lvl w:ilvl="3" w:tentative="0">
      <w:start w:val="1"/>
      <w:numFmt w:val="decimal"/>
      <w:pStyle w:val="31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5" w:tentative="0">
      <w:start w:val="1"/>
      <w:numFmt w:val="decimal"/>
      <w:pStyle w:val="33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pStyle w:val="34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A65BEC9C"/>
    <w:multiLevelType w:val="multilevel"/>
    <w:tmpl w:val="A65BEC9C"/>
    <w:lvl w:ilvl="0" w:tentative="0">
      <w:start w:val="1"/>
      <w:numFmt w:val="decimal"/>
      <w:pStyle w:val="27"/>
      <w:suff w:val="space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default" w:ascii="宋体" w:hAnsi="宋体" w:eastAsia="宋体" w:cs="宋体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default" w:ascii="宋体" w:hAnsi="宋体" w:eastAsia="宋体" w:cs="宋体"/>
      </w:rPr>
    </w:lvl>
  </w:abstractNum>
  <w:abstractNum w:abstractNumId="2">
    <w:nsid w:val="05814601"/>
    <w:multiLevelType w:val="multilevel"/>
    <w:tmpl w:val="05814601"/>
    <w:lvl w:ilvl="0" w:tentative="0">
      <w:start w:val="1"/>
      <w:numFmt w:val="none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7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2" w:tentative="0">
      <w:start w:val="1"/>
      <w:numFmt w:val="decimal"/>
      <w:pStyle w:val="7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suff w:val="space"/>
      <w:lvlText w:val="%1.%2.%3.%4.%5.%6.%7.%8　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　"/>
      <w:lvlJc w:val="left"/>
      <w:pPr>
        <w:ind w:left="0" w:firstLine="0"/>
      </w:pPr>
      <w:rPr>
        <w:rFonts w:hint="eastAsia"/>
      </w:rPr>
    </w:lvl>
  </w:abstractNum>
  <w:abstractNum w:abstractNumId="3">
    <w:nsid w:val="140006B0"/>
    <w:multiLevelType w:val="singleLevel"/>
    <w:tmpl w:val="140006B0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4">
    <w:nsid w:val="1D179757"/>
    <w:multiLevelType w:val="singleLevel"/>
    <w:tmpl w:val="1D17975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20F16A82"/>
    <w:multiLevelType w:val="multilevel"/>
    <w:tmpl w:val="20F16A82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sz w:val="44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44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32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4" w:tentative="0">
      <w:start w:val="1"/>
      <w:numFmt w:val="decimal"/>
      <w:pStyle w:val="32"/>
      <w:lvlText w:val="%1.%2.%3.%4.%5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255F5EAA"/>
    <w:multiLevelType w:val="multilevel"/>
    <w:tmpl w:val="255F5EAA"/>
    <w:lvl w:ilvl="0" w:tentative="0">
      <w:start w:val="1"/>
      <w:numFmt w:val="bullet"/>
      <w:lvlText w:val=""/>
      <w:lvlJc w:val="left"/>
      <w:pPr>
        <w:ind w:left="12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20"/>
      </w:pPr>
      <w:rPr>
        <w:rFonts w:hint="default" w:ascii="Wingdings" w:hAnsi="Wingdings"/>
      </w:rPr>
    </w:lvl>
  </w:abstractNum>
  <w:abstractNum w:abstractNumId="7">
    <w:nsid w:val="2912FDE1"/>
    <w:multiLevelType w:val="multilevel"/>
    <w:tmpl w:val="2912FDE1"/>
    <w:lvl w:ilvl="0" w:tentative="0">
      <w:start w:val="1"/>
      <w:numFmt w:val="chineseCounting"/>
      <w:pStyle w:val="29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 w:cs="宋体"/>
      </w:rPr>
    </w:lvl>
    <w:lvl w:ilvl="1" w:tentative="0">
      <w:start w:val="1"/>
      <w:numFmt w:val="decimal"/>
      <w:pStyle w:val="35"/>
      <w:isLgl/>
      <w:suff w:val="nothing"/>
      <w:lvlText w:val="%1.%2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36"/>
      </w:rPr>
    </w:lvl>
    <w:lvl w:ilvl="2" w:tentative="0">
      <w:start w:val="1"/>
      <w:numFmt w:val="decimal"/>
      <w:pStyle w:val="37"/>
      <w:isLgl/>
      <w:suff w:val="nothing"/>
      <w:lvlText w:val="%1.%2.%3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32"/>
      </w:rPr>
    </w:lvl>
    <w:lvl w:ilvl="3" w:tentative="0">
      <w:start w:val="1"/>
      <w:numFmt w:val="decimal"/>
      <w:pStyle w:val="38"/>
      <w:isLgl/>
      <w:suff w:val="nothing"/>
      <w:lvlText w:val="%1.%2.%3.%4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黑体"/>
        <w:b/>
        <w:sz w:val="28"/>
        <w:szCs w:val="28"/>
      </w:rPr>
    </w:lvl>
    <w:lvl w:ilvl="4" w:tentative="0">
      <w:start w:val="1"/>
      <w:numFmt w:val="decimal"/>
      <w:pStyle w:val="39"/>
      <w:isLgl/>
      <w:suff w:val="nothing"/>
      <w:lvlText w:val="%1.%2.%3.%4.%5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28"/>
      </w:rPr>
    </w:lvl>
    <w:lvl w:ilvl="5" w:tentative="0">
      <w:start w:val="1"/>
      <w:numFmt w:val="decimalFullWidth"/>
      <w:pStyle w:val="41"/>
      <w:isLgl/>
      <w:suff w:val="nothing"/>
      <w:lvlText w:val="%1.%2.%3.%4.%5.%6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28"/>
      </w:rPr>
    </w:lvl>
    <w:lvl w:ilvl="6" w:tentative="0">
      <w:start w:val="1"/>
      <w:numFmt w:val="decimalFullWidth"/>
      <w:isLgl/>
      <w:suff w:val="nothing"/>
      <w:lvlText w:val="%1.%2.%3.%4.%5.%6.%7"/>
      <w:lvlJc w:val="left"/>
      <w:pPr>
        <w:ind w:left="0" w:firstLine="402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suff w:val="nothing"/>
      <w:lvlText w:val="%1.%2.%3.%4.%5.%6.%7.%8"/>
      <w:lvlJc w:val="left"/>
      <w:pPr>
        <w:ind w:left="0" w:firstLine="402"/>
      </w:pPr>
      <w:rPr>
        <w:rFonts w:hint="eastAsia" w:ascii="宋体" w:hAnsi="宋体" w:eastAsia="宋体" w:cs="宋体"/>
      </w:rPr>
    </w:lvl>
    <w:lvl w:ilvl="8" w:tentative="0">
      <w:start w:val="1"/>
      <w:numFmt w:val="decimalFullWidth"/>
      <w:isLgl/>
      <w:suff w:val="nothing"/>
      <w:lvlText w:val="%1.%2.%3.%4.%5.%6.%7.%8.%9"/>
      <w:lvlJc w:val="left"/>
      <w:pPr>
        <w:ind w:left="0" w:firstLine="402"/>
      </w:pPr>
      <w:rPr>
        <w:rFonts w:hint="eastAsia" w:ascii="宋体" w:hAnsi="宋体" w:eastAsia="宋体" w:cs="宋体"/>
      </w:rPr>
    </w:lvl>
  </w:abstractNum>
  <w:abstractNum w:abstractNumId="8">
    <w:nsid w:val="2BEF774F"/>
    <w:multiLevelType w:val="multilevel"/>
    <w:tmpl w:val="2BEF774F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pStyle w:val="8"/>
      <w:suff w:val="space"/>
      <w:lvlText w:val="2.%2.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9"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0"/>
      <w:suff w:val="space"/>
      <w:lvlText w:val="%1.%2.%3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11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2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13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4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5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9">
    <w:nsid w:val="37C717AC"/>
    <w:multiLevelType w:val="multilevel"/>
    <w:tmpl w:val="37C717AC"/>
    <w:lvl w:ilvl="0" w:tentative="0">
      <w:start w:val="8"/>
      <w:numFmt w:val="decimal"/>
      <w:suff w:val="space"/>
      <w:lvlText w:val="%1"/>
      <w:lvlJc w:val="left"/>
      <w:pPr>
        <w:ind w:left="0" w:firstLine="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suff w:val="space"/>
      <w:lvlText w:val="7.%2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szCs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suff w:val="space"/>
      <w:lvlText w:val="7.%2.%3"/>
      <w:lvlJc w:val="left"/>
      <w:pPr>
        <w:ind w:left="142" w:firstLine="0"/>
      </w:pPr>
      <w:rPr>
        <w:rFonts w:hint="eastAsia" w:ascii="Times New Roman" w:hAnsi="Times New Roman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3" w:tentative="0">
      <w:start w:val="1"/>
      <w:numFmt w:val="decimal"/>
      <w:pStyle w:val="61"/>
      <w:suff w:val="space"/>
      <w:lvlText w:val="7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suff w:val="space"/>
      <w:lvlText w:val="7.%2.%3.%4.%5"/>
      <w:lvlJc w:val="left"/>
      <w:pPr>
        <w:ind w:left="0" w:firstLine="0"/>
      </w:pPr>
      <w:rPr>
        <w:rFonts w:hint="default" w:ascii="Times New Roman" w:hAnsi="Times New Roman" w:cs="Times New Roman"/>
        <w:color w:val="auto"/>
        <w:spacing w:val="0"/>
        <w:w w:val="100"/>
        <w:position w:val="0"/>
        <w:sz w:val="24"/>
        <w:szCs w:val="24"/>
        <w:u w:val="none"/>
      </w:rPr>
    </w:lvl>
    <w:lvl w:ilvl="5" w:tentative="0">
      <w:start w:val="1"/>
      <w:numFmt w:val="decimal"/>
      <w:lvlText w:val="7.%2.%3.%4.%5.%6"/>
      <w:lvlJc w:val="left"/>
      <w:pPr>
        <w:tabs>
          <w:tab w:val="left" w:pos="1152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0" w:firstLine="0"/>
      </w:pPr>
      <w:rPr>
        <w:rFonts w:hint="eastAsia"/>
      </w:rPr>
    </w:lvl>
  </w:abstractNum>
  <w:abstractNum w:abstractNumId="10">
    <w:nsid w:val="4EE15631"/>
    <w:multiLevelType w:val="multilevel"/>
    <w:tmpl w:val="4EE15631"/>
    <w:lvl w:ilvl="0" w:tentative="0">
      <w:start w:val="1"/>
      <w:numFmt w:val="decimal"/>
      <w:suff w:val="space"/>
      <w:lvlText w:val="%1"/>
      <w:lvlJc w:val="left"/>
      <w:pPr>
        <w:ind w:left="993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7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8"/>
      <w:suff w:val="space"/>
      <w:lvlText w:val="%1.%2.%3.%4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73"/>
      <w:lvlText w:val="%1.%2.%3.%4.%5"/>
      <w:lvlJc w:val="left"/>
      <w:pPr>
        <w:ind w:left="2551" w:hanging="85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6045086B"/>
    <w:multiLevelType w:val="singleLevel"/>
    <w:tmpl w:val="6045086B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12">
    <w:nsid w:val="68252847"/>
    <w:multiLevelType w:val="singleLevel"/>
    <w:tmpl w:val="68252847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13">
    <w:nsid w:val="6DBE6CB2"/>
    <w:multiLevelType w:val="multilevel"/>
    <w:tmpl w:val="6DBE6CB2"/>
    <w:lvl w:ilvl="0" w:tentative="0">
      <w:start w:val="1"/>
      <w:numFmt w:val="bullet"/>
      <w:lvlText w:val=""/>
      <w:lvlJc w:val="left"/>
      <w:pPr>
        <w:ind w:left="12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13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12C4D"/>
    <w:rsid w:val="019E35C9"/>
    <w:rsid w:val="03FE6DF9"/>
    <w:rsid w:val="043D1165"/>
    <w:rsid w:val="049B460A"/>
    <w:rsid w:val="04CA5F13"/>
    <w:rsid w:val="057B2792"/>
    <w:rsid w:val="07FB0A26"/>
    <w:rsid w:val="08AD2073"/>
    <w:rsid w:val="08C015A1"/>
    <w:rsid w:val="090514BA"/>
    <w:rsid w:val="09975BD2"/>
    <w:rsid w:val="0A6D1DCA"/>
    <w:rsid w:val="0ABB46E2"/>
    <w:rsid w:val="0CB36566"/>
    <w:rsid w:val="0D070E08"/>
    <w:rsid w:val="0D2549DE"/>
    <w:rsid w:val="0D7633A7"/>
    <w:rsid w:val="0F915954"/>
    <w:rsid w:val="10416B87"/>
    <w:rsid w:val="11CD2746"/>
    <w:rsid w:val="12F75941"/>
    <w:rsid w:val="13E350F6"/>
    <w:rsid w:val="151C7E35"/>
    <w:rsid w:val="155E541B"/>
    <w:rsid w:val="16564E4B"/>
    <w:rsid w:val="16B33102"/>
    <w:rsid w:val="18AB172A"/>
    <w:rsid w:val="19C8321E"/>
    <w:rsid w:val="1AA54D6C"/>
    <w:rsid w:val="1ACD6B3F"/>
    <w:rsid w:val="1AFD3D34"/>
    <w:rsid w:val="1B07030F"/>
    <w:rsid w:val="1B1E4D4B"/>
    <w:rsid w:val="1C0256CB"/>
    <w:rsid w:val="1D281E65"/>
    <w:rsid w:val="1D56022F"/>
    <w:rsid w:val="1DFE2872"/>
    <w:rsid w:val="1E356E8E"/>
    <w:rsid w:val="1E3D010B"/>
    <w:rsid w:val="220B1CEC"/>
    <w:rsid w:val="239C0D78"/>
    <w:rsid w:val="24707020"/>
    <w:rsid w:val="24DA7675"/>
    <w:rsid w:val="25243186"/>
    <w:rsid w:val="2558009C"/>
    <w:rsid w:val="25D965AC"/>
    <w:rsid w:val="2708422B"/>
    <w:rsid w:val="272122E0"/>
    <w:rsid w:val="273C0057"/>
    <w:rsid w:val="2A3F5231"/>
    <w:rsid w:val="2C2836AF"/>
    <w:rsid w:val="2CB93993"/>
    <w:rsid w:val="2E49263F"/>
    <w:rsid w:val="2E847A59"/>
    <w:rsid w:val="2E8E53DD"/>
    <w:rsid w:val="2EE16950"/>
    <w:rsid w:val="2F255FE5"/>
    <w:rsid w:val="30273F6A"/>
    <w:rsid w:val="32E40B7F"/>
    <w:rsid w:val="333F6F36"/>
    <w:rsid w:val="33F345E5"/>
    <w:rsid w:val="341E5AB2"/>
    <w:rsid w:val="342F5D1C"/>
    <w:rsid w:val="345000EC"/>
    <w:rsid w:val="383B7CB4"/>
    <w:rsid w:val="38440F1A"/>
    <w:rsid w:val="38B75A11"/>
    <w:rsid w:val="390C00F8"/>
    <w:rsid w:val="3A413490"/>
    <w:rsid w:val="3A4C68AE"/>
    <w:rsid w:val="3B47680D"/>
    <w:rsid w:val="3BA642E1"/>
    <w:rsid w:val="3E86131C"/>
    <w:rsid w:val="405A5CC5"/>
    <w:rsid w:val="40D90483"/>
    <w:rsid w:val="413D0443"/>
    <w:rsid w:val="418052FE"/>
    <w:rsid w:val="43894962"/>
    <w:rsid w:val="446E1E96"/>
    <w:rsid w:val="47281DDD"/>
    <w:rsid w:val="47311E73"/>
    <w:rsid w:val="483D73F0"/>
    <w:rsid w:val="483F6756"/>
    <w:rsid w:val="48445BE5"/>
    <w:rsid w:val="4914116B"/>
    <w:rsid w:val="498B36EB"/>
    <w:rsid w:val="49BA7AB6"/>
    <w:rsid w:val="49C97313"/>
    <w:rsid w:val="4BC37020"/>
    <w:rsid w:val="4CDB4835"/>
    <w:rsid w:val="4CE13019"/>
    <w:rsid w:val="4CF255B1"/>
    <w:rsid w:val="4E646699"/>
    <w:rsid w:val="4F560BB2"/>
    <w:rsid w:val="4F9B6B41"/>
    <w:rsid w:val="4FBC6595"/>
    <w:rsid w:val="50A67B5E"/>
    <w:rsid w:val="51087BA5"/>
    <w:rsid w:val="51160E05"/>
    <w:rsid w:val="51F83C04"/>
    <w:rsid w:val="55763CAB"/>
    <w:rsid w:val="570B23E3"/>
    <w:rsid w:val="578935BC"/>
    <w:rsid w:val="57C51296"/>
    <w:rsid w:val="59895A2F"/>
    <w:rsid w:val="59EE322D"/>
    <w:rsid w:val="5AA26459"/>
    <w:rsid w:val="5BAB7B4F"/>
    <w:rsid w:val="5D926DC3"/>
    <w:rsid w:val="5E5623E4"/>
    <w:rsid w:val="5EB46C78"/>
    <w:rsid w:val="6083723A"/>
    <w:rsid w:val="62033EB7"/>
    <w:rsid w:val="637449DE"/>
    <w:rsid w:val="6501186F"/>
    <w:rsid w:val="66DB718F"/>
    <w:rsid w:val="679A2E87"/>
    <w:rsid w:val="67AB6895"/>
    <w:rsid w:val="68D921A8"/>
    <w:rsid w:val="6A7841D9"/>
    <w:rsid w:val="6A8054B1"/>
    <w:rsid w:val="6B6D0362"/>
    <w:rsid w:val="6B993D4E"/>
    <w:rsid w:val="6BD464B9"/>
    <w:rsid w:val="6CD602B7"/>
    <w:rsid w:val="6F5A1A33"/>
    <w:rsid w:val="6F625D9B"/>
    <w:rsid w:val="6FAF562B"/>
    <w:rsid w:val="71516D7F"/>
    <w:rsid w:val="722534BC"/>
    <w:rsid w:val="72911FF8"/>
    <w:rsid w:val="73FD78A0"/>
    <w:rsid w:val="755D5C19"/>
    <w:rsid w:val="759C7433"/>
    <w:rsid w:val="759F35B5"/>
    <w:rsid w:val="76617148"/>
    <w:rsid w:val="775411A4"/>
    <w:rsid w:val="77A52EB0"/>
    <w:rsid w:val="78C90C7E"/>
    <w:rsid w:val="78DB34C7"/>
    <w:rsid w:val="790D0CE1"/>
    <w:rsid w:val="798C1918"/>
    <w:rsid w:val="79CE5B8D"/>
    <w:rsid w:val="79F30046"/>
    <w:rsid w:val="7B113D19"/>
    <w:rsid w:val="7B130790"/>
    <w:rsid w:val="7C845436"/>
    <w:rsid w:val="7CB7029F"/>
    <w:rsid w:val="7DEA4E28"/>
    <w:rsid w:val="7DE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styleId="7">
    <w:name w:val="heading 1"/>
    <w:basedOn w:val="1"/>
    <w:next w:val="1"/>
    <w:link w:val="62"/>
    <w:qFormat/>
    <w:uiPriority w:val="0"/>
    <w:pPr>
      <w:keepNext/>
      <w:keepLines/>
      <w:spacing w:beforeAutospacing="0" w:afterAutospacing="0" w:line="576" w:lineRule="auto"/>
      <w:ind w:firstLine="0"/>
      <w:outlineLvl w:val="0"/>
    </w:pPr>
    <w:rPr>
      <w:rFonts w:asciiTheme="minorAscii" w:hAnsiTheme="minorAscii"/>
      <w:b/>
      <w:kern w:val="44"/>
      <w:sz w:val="44"/>
    </w:rPr>
  </w:style>
  <w:style w:type="paragraph" w:styleId="8">
    <w:name w:val="heading 2"/>
    <w:basedOn w:val="1"/>
    <w:next w:val="1"/>
    <w:link w:val="47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9">
    <w:name w:val="heading 3"/>
    <w:basedOn w:val="1"/>
    <w:next w:val="1"/>
    <w:link w:val="49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10">
    <w:name w:val="heading 4"/>
    <w:basedOn w:val="1"/>
    <w:next w:val="1"/>
    <w:link w:val="59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11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12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13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4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5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5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Body Text 2"/>
    <w:basedOn w:val="1"/>
    <w:qFormat/>
    <w:uiPriority w:val="0"/>
    <w:rPr>
      <w:rFonts w:ascii="楷体_GB2312" w:eastAsia="楷体_GB2312"/>
      <w:sz w:val="24"/>
    </w:rPr>
  </w:style>
  <w:style w:type="paragraph" w:styleId="16">
    <w:name w:val="Normal Indent"/>
    <w:basedOn w:val="1"/>
    <w:qFormat/>
    <w:uiPriority w:val="0"/>
    <w:pPr>
      <w:ind w:firstLine="420" w:firstLineChars="200"/>
    </w:pPr>
  </w:style>
  <w:style w:type="paragraph" w:styleId="17">
    <w:name w:val="caption"/>
    <w:basedOn w:val="1"/>
    <w:next w:val="1"/>
    <w:unhideWhenUsed/>
    <w:qFormat/>
    <w:uiPriority w:val="0"/>
    <w:rPr>
      <w:rFonts w:ascii="Cambria" w:hAnsi="Cambria" w:eastAsia="黑体"/>
      <w:sz w:val="20"/>
      <w:szCs w:val="2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0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Body Text First Indent"/>
    <w:basedOn w:val="5"/>
    <w:qFormat/>
    <w:uiPriority w:val="99"/>
    <w:pPr>
      <w:ind w:firstLine="420" w:firstLineChars="100"/>
    </w:p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Medium List 2 Accent 1"/>
    <w:basedOn w:val="22"/>
    <w:qFormat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26">
    <w:name w:val="Hyperlink"/>
    <w:basedOn w:val="25"/>
    <w:qFormat/>
    <w:uiPriority w:val="0"/>
    <w:rPr>
      <w:color w:val="0000FF"/>
      <w:u w:val="single"/>
    </w:rPr>
  </w:style>
  <w:style w:type="paragraph" w:customStyle="1" w:styleId="27">
    <w:name w:val="样式12"/>
    <w:basedOn w:val="1"/>
    <w:next w:val="1"/>
    <w:qFormat/>
    <w:uiPriority w:val="0"/>
    <w:pPr>
      <w:numPr>
        <w:ilvl w:val="0"/>
        <w:numId w:val="2"/>
      </w:numPr>
      <w:jc w:val="center"/>
      <w:outlineLvl w:val="1"/>
    </w:pPr>
    <w:rPr>
      <w:rFonts w:asciiTheme="minorAscii" w:hAnsiTheme="minorAscii"/>
      <w:b/>
      <w:sz w:val="36"/>
    </w:rPr>
  </w:style>
  <w:style w:type="paragraph" w:customStyle="1" w:styleId="28">
    <w:name w:val="二级标题"/>
    <w:basedOn w:val="1"/>
    <w:next w:val="1"/>
    <w:qFormat/>
    <w:uiPriority w:val="0"/>
    <w:pPr>
      <w:numPr>
        <w:ilvl w:val="1"/>
        <w:numId w:val="3"/>
      </w:numPr>
      <w:ind w:left="0" w:firstLine="0"/>
      <w:jc w:val="center"/>
      <w:outlineLvl w:val="1"/>
    </w:pPr>
    <w:rPr>
      <w:rFonts w:eastAsia="仿宋_GB2312" w:asciiTheme="minorAscii" w:hAnsiTheme="minorAscii"/>
      <w:b/>
      <w:sz w:val="36"/>
    </w:rPr>
  </w:style>
  <w:style w:type="paragraph" w:customStyle="1" w:styleId="29">
    <w:name w:val="jp一级标题"/>
    <w:next w:val="1"/>
    <w:qFormat/>
    <w:uiPriority w:val="0"/>
    <w:pPr>
      <w:numPr>
        <w:ilvl w:val="0"/>
        <w:numId w:val="4"/>
      </w:numPr>
      <w:spacing w:after="100" w:afterLines="100" w:line="240" w:lineRule="auto"/>
      <w:ind w:left="0" w:firstLine="400"/>
      <w:jc w:val="center"/>
      <w:outlineLvl w:val="0"/>
    </w:pPr>
    <w:rPr>
      <w:rFonts w:ascii="黑体" w:hAnsi="黑体" w:eastAsia="黑体" w:cstheme="minorBidi"/>
      <w:b/>
      <w:sz w:val="44"/>
    </w:rPr>
  </w:style>
  <w:style w:type="paragraph" w:customStyle="1" w:styleId="30">
    <w:name w:val="三级标题"/>
    <w:basedOn w:val="1"/>
    <w:qFormat/>
    <w:uiPriority w:val="0"/>
    <w:pPr>
      <w:numPr>
        <w:ilvl w:val="2"/>
        <w:numId w:val="3"/>
      </w:numPr>
    </w:pPr>
  </w:style>
  <w:style w:type="paragraph" w:customStyle="1" w:styleId="31">
    <w:name w:val="四级标题"/>
    <w:basedOn w:val="1"/>
    <w:qFormat/>
    <w:uiPriority w:val="0"/>
    <w:pPr>
      <w:numPr>
        <w:ilvl w:val="3"/>
        <w:numId w:val="3"/>
      </w:numPr>
    </w:pPr>
  </w:style>
  <w:style w:type="paragraph" w:customStyle="1" w:styleId="32">
    <w:name w:val="五级标题"/>
    <w:basedOn w:val="1"/>
    <w:qFormat/>
    <w:uiPriority w:val="0"/>
    <w:pPr>
      <w:numPr>
        <w:ilvl w:val="4"/>
        <w:numId w:val="5"/>
      </w:numPr>
    </w:pPr>
  </w:style>
  <w:style w:type="paragraph" w:customStyle="1" w:styleId="33">
    <w:name w:val="783标题6"/>
    <w:basedOn w:val="1"/>
    <w:qFormat/>
    <w:uiPriority w:val="0"/>
    <w:pPr>
      <w:numPr>
        <w:ilvl w:val="5"/>
        <w:numId w:val="3"/>
      </w:numPr>
      <w:ind w:left="3260" w:hanging="1134"/>
    </w:pPr>
  </w:style>
  <w:style w:type="paragraph" w:customStyle="1" w:styleId="34">
    <w:name w:val="783标题7"/>
    <w:basedOn w:val="1"/>
    <w:qFormat/>
    <w:uiPriority w:val="0"/>
    <w:pPr>
      <w:numPr>
        <w:ilvl w:val="6"/>
        <w:numId w:val="3"/>
      </w:numPr>
      <w:ind w:left="3827" w:hanging="1276"/>
    </w:pPr>
  </w:style>
  <w:style w:type="paragraph" w:customStyle="1" w:styleId="35">
    <w:name w:val="jp二级标题"/>
    <w:basedOn w:val="1"/>
    <w:next w:val="1"/>
    <w:link w:val="44"/>
    <w:qFormat/>
    <w:uiPriority w:val="0"/>
    <w:pPr>
      <w:numPr>
        <w:ilvl w:val="1"/>
        <w:numId w:val="4"/>
      </w:numPr>
      <w:ind w:firstLine="0"/>
      <w:jc w:val="left"/>
      <w:outlineLvl w:val="1"/>
    </w:pPr>
    <w:rPr>
      <w:rFonts w:ascii="黑体" w:hAnsi="黑体" w:eastAsia="黑体"/>
      <w:b/>
      <w:sz w:val="36"/>
    </w:rPr>
  </w:style>
  <w:style w:type="paragraph" w:customStyle="1" w:styleId="36">
    <w:name w:val="一级标题"/>
    <w:basedOn w:val="1"/>
    <w:qFormat/>
    <w:uiPriority w:val="0"/>
    <w:pPr>
      <w:numPr>
        <w:ilvl w:val="0"/>
        <w:numId w:val="3"/>
      </w:numPr>
    </w:pPr>
  </w:style>
  <w:style w:type="paragraph" w:customStyle="1" w:styleId="37">
    <w:name w:val="jp三级标题"/>
    <w:link w:val="42"/>
    <w:qFormat/>
    <w:uiPriority w:val="0"/>
    <w:pPr>
      <w:numPr>
        <w:ilvl w:val="2"/>
        <w:numId w:val="4"/>
      </w:numPr>
      <w:ind w:firstLine="0"/>
      <w:jc w:val="left"/>
      <w:outlineLvl w:val="2"/>
    </w:pPr>
    <w:rPr>
      <w:rFonts w:ascii="黑体" w:hAnsi="黑体" w:eastAsia="黑体" w:cstheme="minorBidi"/>
      <w:b/>
      <w:sz w:val="32"/>
    </w:rPr>
  </w:style>
  <w:style w:type="paragraph" w:customStyle="1" w:styleId="38">
    <w:name w:val="jp四级标题"/>
    <w:basedOn w:val="1"/>
    <w:link w:val="43"/>
    <w:qFormat/>
    <w:uiPriority w:val="0"/>
    <w:pPr>
      <w:numPr>
        <w:ilvl w:val="3"/>
        <w:numId w:val="4"/>
      </w:numPr>
      <w:ind w:firstLine="0"/>
      <w:jc w:val="left"/>
      <w:outlineLvl w:val="3"/>
    </w:pPr>
    <w:rPr>
      <w:rFonts w:eastAsia="黑体" w:asciiTheme="minorAscii" w:hAnsiTheme="minorAscii"/>
      <w:b/>
    </w:rPr>
  </w:style>
  <w:style w:type="paragraph" w:customStyle="1" w:styleId="39">
    <w:name w:val="jp五级标题"/>
    <w:basedOn w:val="38"/>
    <w:link w:val="65"/>
    <w:qFormat/>
    <w:uiPriority w:val="0"/>
    <w:pPr>
      <w:numPr>
        <w:ilvl w:val="4"/>
        <w:numId w:val="4"/>
      </w:numPr>
      <w:outlineLvl w:val="4"/>
    </w:pPr>
  </w:style>
  <w:style w:type="paragraph" w:customStyle="1" w:styleId="40">
    <w:name w:val="jp正文无缩进"/>
    <w:basedOn w:val="1"/>
    <w:link w:val="50"/>
    <w:qFormat/>
    <w:uiPriority w:val="0"/>
    <w:pPr>
      <w:ind w:firstLine="0" w:firstLineChars="0"/>
    </w:pPr>
    <w:rPr>
      <w:rFonts w:ascii="仿宋_GB2312" w:hAnsi="仿宋_GB2312"/>
    </w:rPr>
  </w:style>
  <w:style w:type="paragraph" w:customStyle="1" w:styleId="41">
    <w:name w:val="jp六级标题"/>
    <w:basedOn w:val="39"/>
    <w:next w:val="1"/>
    <w:qFormat/>
    <w:uiPriority w:val="0"/>
    <w:pPr>
      <w:numPr>
        <w:ilvl w:val="5"/>
      </w:numPr>
      <w:outlineLvl w:val="5"/>
    </w:pPr>
  </w:style>
  <w:style w:type="character" w:customStyle="1" w:styleId="42">
    <w:name w:val="jp三级标题 Char"/>
    <w:link w:val="37"/>
    <w:qFormat/>
    <w:uiPriority w:val="0"/>
    <w:rPr>
      <w:rFonts w:ascii="黑体" w:hAnsi="黑体" w:eastAsia="黑体" w:cstheme="minorBidi"/>
      <w:b/>
      <w:sz w:val="32"/>
    </w:rPr>
  </w:style>
  <w:style w:type="character" w:customStyle="1" w:styleId="43">
    <w:name w:val="jp四级标题 Char"/>
    <w:link w:val="38"/>
    <w:qFormat/>
    <w:uiPriority w:val="0"/>
    <w:rPr>
      <w:rFonts w:eastAsia="黑体" w:asciiTheme="minorAscii" w:hAnsiTheme="minorAscii"/>
      <w:b/>
      <w:sz w:val="28"/>
    </w:rPr>
  </w:style>
  <w:style w:type="character" w:customStyle="1" w:styleId="44">
    <w:name w:val="jp二级标题 Char"/>
    <w:link w:val="35"/>
    <w:qFormat/>
    <w:uiPriority w:val="0"/>
    <w:rPr>
      <w:rFonts w:ascii="黑体" w:hAnsi="黑体" w:eastAsia="黑体"/>
      <w:b/>
      <w:sz w:val="36"/>
    </w:rPr>
  </w:style>
  <w:style w:type="paragraph" w:customStyle="1" w:styleId="45">
    <w:name w:val="jp表格"/>
    <w:qFormat/>
    <w:uiPriority w:val="0"/>
    <w:pPr>
      <w:jc w:val="center"/>
    </w:pPr>
    <w:rPr>
      <w:rFonts w:ascii="仿宋_GB2312" w:hAnsi="仿宋_GB2312" w:eastAsia="仿宋_GB2312" w:cs="仿宋_GB2312"/>
      <w:sz w:val="21"/>
      <w:szCs w:val="21"/>
    </w:rPr>
  </w:style>
  <w:style w:type="paragraph" w:customStyle="1" w:styleId="46">
    <w:name w:val="jp正文缩进"/>
    <w:link w:val="51"/>
    <w:qFormat/>
    <w:uiPriority w:val="0"/>
    <w:pPr>
      <w:ind w:firstLine="876" w:firstLineChars="200"/>
    </w:pPr>
    <w:rPr>
      <w:rFonts w:ascii="仿宋_GB2312" w:hAnsi="仿宋_GB2312" w:eastAsia="仿宋_GB2312" w:cstheme="minorBidi"/>
      <w:sz w:val="28"/>
    </w:rPr>
  </w:style>
  <w:style w:type="character" w:customStyle="1" w:styleId="47">
    <w:name w:val="标题 2 Char"/>
    <w:basedOn w:val="25"/>
    <w:link w:val="8"/>
    <w:qFormat/>
    <w:uiPriority w:val="9"/>
    <w:rPr>
      <w:rFonts w:ascii="Arial" w:hAnsi="Arial" w:eastAsia="黑体"/>
      <w:b/>
      <w:sz w:val="32"/>
    </w:rPr>
  </w:style>
  <w:style w:type="character" w:customStyle="1" w:styleId="48">
    <w:name w:val="Heading 3 Char"/>
    <w:basedOn w:val="25"/>
    <w:link w:val="9"/>
    <w:qFormat/>
    <w:uiPriority w:val="9"/>
    <w:rPr>
      <w:b/>
      <w:sz w:val="32"/>
    </w:rPr>
  </w:style>
  <w:style w:type="character" w:customStyle="1" w:styleId="49">
    <w:name w:val="标题 3 Char"/>
    <w:basedOn w:val="25"/>
    <w:link w:val="9"/>
    <w:qFormat/>
    <w:uiPriority w:val="9"/>
    <w:rPr>
      <w:rFonts w:ascii="Times New Roman" w:hAnsi="Times New Roman" w:eastAsia="仿宋_GB2312" w:cs="Times New Roman"/>
      <w:b/>
      <w:bCs/>
      <w:sz w:val="28"/>
      <w:szCs w:val="32"/>
    </w:rPr>
  </w:style>
  <w:style w:type="character" w:customStyle="1" w:styleId="50">
    <w:name w:val="jp正文无缩进 Char"/>
    <w:link w:val="40"/>
    <w:qFormat/>
    <w:uiPriority w:val="0"/>
    <w:rPr>
      <w:rFonts w:ascii="仿宋_GB2312" w:hAnsi="仿宋_GB2312" w:eastAsia="仿宋_GB2312"/>
      <w:sz w:val="28"/>
    </w:rPr>
  </w:style>
  <w:style w:type="character" w:customStyle="1" w:styleId="51">
    <w:name w:val="jp正文缩进 Char"/>
    <w:link w:val="46"/>
    <w:qFormat/>
    <w:uiPriority w:val="0"/>
    <w:rPr>
      <w:rFonts w:ascii="仿宋_GB2312" w:hAnsi="仿宋_GB2312" w:eastAsia="仿宋_GB2312" w:cstheme="minorBidi"/>
      <w:sz w:val="28"/>
    </w:rPr>
  </w:style>
  <w:style w:type="paragraph" w:customStyle="1" w:styleId="52">
    <w:name w:val="投标-正文"/>
    <w:basedOn w:val="1"/>
    <w:qFormat/>
    <w:uiPriority w:val="99"/>
    <w:pPr>
      <w:ind w:firstLine="200" w:firstLineChars="200"/>
      <w:jc w:val="left"/>
    </w:pPr>
    <w:rPr>
      <w:rFonts w:ascii="Times New Roman" w:hAnsi="Times New Roman"/>
      <w:sz w:val="28"/>
      <w:szCs w:val="28"/>
    </w:rPr>
  </w:style>
  <w:style w:type="paragraph" w:customStyle="1" w:styleId="53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  <w:style w:type="paragraph" w:customStyle="1" w:styleId="56">
    <w:name w:val="Code"/>
    <w:basedOn w:val="55"/>
    <w:qFormat/>
    <w:uiPriority w:val="0"/>
    <w:pPr>
      <w:shd w:val="clear" w:color="auto" w:fill="E7E6E6" w:themeFill="background2"/>
    </w:pPr>
    <w:rPr>
      <w:rFonts w:ascii="Consolas" w:hAnsi="Consolas"/>
      <w:sz w:val="16"/>
      <w:szCs w:val="16"/>
    </w:rPr>
  </w:style>
  <w:style w:type="paragraph" w:customStyle="1" w:styleId="57">
    <w:name w:val="标准文件_段落"/>
    <w:basedOn w:val="1"/>
    <w:qFormat/>
    <w:locked/>
    <w:uiPriority w:val="0"/>
    <w:pPr>
      <w:spacing w:line="316" w:lineRule="exact"/>
      <w:ind w:firstLine="428" w:firstLineChars="200"/>
      <w:jc w:val="left"/>
    </w:pPr>
    <w:rPr>
      <w:rFonts w:ascii="宋体"/>
      <w:spacing w:val="2"/>
      <w:kern w:val="0"/>
      <w:szCs w:val="21"/>
    </w:rPr>
  </w:style>
  <w:style w:type="character" w:customStyle="1" w:styleId="58">
    <w:name w:val="标题 4 Char"/>
    <w:link w:val="10"/>
    <w:qFormat/>
    <w:uiPriority w:val="0"/>
    <w:rPr>
      <w:rFonts w:ascii="Arial" w:hAnsi="Arial" w:eastAsia="黑体"/>
      <w:b/>
      <w:sz w:val="28"/>
    </w:rPr>
  </w:style>
  <w:style w:type="character" w:customStyle="1" w:styleId="59">
    <w:name w:val="Heading 4 Char"/>
    <w:basedOn w:val="25"/>
    <w:link w:val="10"/>
    <w:qFormat/>
    <w:uiPriority w:val="9"/>
    <w:rPr>
      <w:rFonts w:ascii="Calibri" w:hAnsi="Calibri" w:eastAsia="仿宋_GB2312" w:cstheme="majorBidi"/>
      <w:b/>
      <w:iCs/>
      <w:color w:val="000000" w:themeColor="text1"/>
      <w:kern w:val="2"/>
      <w:sz w:val="28"/>
      <w:szCs w:val="24"/>
      <w14:textFill>
        <w14:solidFill>
          <w14:schemeClr w14:val="tx1"/>
        </w14:solidFill>
      </w14:textFill>
    </w:rPr>
  </w:style>
  <w:style w:type="character" w:customStyle="1" w:styleId="60">
    <w:name w:val="fontstyle01"/>
    <w:basedOn w:val="25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paragraph" w:customStyle="1" w:styleId="61">
    <w:name w:val="投标-4级标题"/>
    <w:basedOn w:val="52"/>
    <w:next w:val="52"/>
    <w:qFormat/>
    <w:uiPriority w:val="99"/>
    <w:pPr>
      <w:numPr>
        <w:ilvl w:val="3"/>
        <w:numId w:val="6"/>
      </w:numPr>
      <w:ind w:firstLineChars="0"/>
      <w:outlineLvl w:val="3"/>
    </w:pPr>
  </w:style>
  <w:style w:type="character" w:customStyle="1" w:styleId="62">
    <w:name w:val="标题 1 Char"/>
    <w:link w:val="7"/>
    <w:qFormat/>
    <w:uiPriority w:val="0"/>
    <w:rPr>
      <w:rFonts w:asciiTheme="minorAscii" w:hAnsiTheme="minorAscii"/>
      <w:b/>
      <w:kern w:val="44"/>
      <w:sz w:val="44"/>
    </w:rPr>
  </w:style>
  <w:style w:type="paragraph" w:customStyle="1" w:styleId="63">
    <w:name w:val="标准文件_段"/>
    <w:qFormat/>
    <w:uiPriority w:val="99"/>
    <w:pPr>
      <w:autoSpaceDE w:val="0"/>
      <w:autoSpaceDN w:val="0"/>
      <w:adjustRightInd w:val="0"/>
      <w:snapToGrid w:val="0"/>
      <w:spacing w:line="276" w:lineRule="auto"/>
      <w:ind w:left="-90" w:leftChars="-50" w:right="-90" w:rightChars="-50" w:firstLine="428" w:firstLineChars="200"/>
      <w:jc w:val="both"/>
    </w:pPr>
    <w:rPr>
      <w:rFonts w:ascii="宋体" w:hAnsi="宋体" w:eastAsia="宋体" w:cs="Times New Roman"/>
      <w:spacing w:val="2"/>
      <w:sz w:val="21"/>
      <w:lang w:val="en-US" w:eastAsia="zh-CN" w:bidi="ar-SA"/>
    </w:rPr>
  </w:style>
  <w:style w:type="paragraph" w:customStyle="1" w:styleId="64">
    <w:name w:val="表"/>
    <w:basedOn w:val="1"/>
    <w:qFormat/>
    <w:uiPriority w:val="0"/>
    <w:pPr>
      <w:widowControl w:val="0"/>
      <w:spacing w:line="240" w:lineRule="auto"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65">
    <w:name w:val="jp五级标题 Char"/>
    <w:link w:val="39"/>
    <w:qFormat/>
    <w:uiPriority w:val="0"/>
  </w:style>
  <w:style w:type="paragraph" w:customStyle="1" w:styleId="66">
    <w:name w:val="783正文"/>
    <w:basedOn w:val="1"/>
    <w:qFormat/>
    <w:uiPriority w:val="0"/>
    <w:pPr>
      <w:spacing w:line="500" w:lineRule="exact"/>
      <w:ind w:firstLine="560" w:firstLineChars="200"/>
    </w:pPr>
    <w:rPr>
      <w:rFonts w:ascii="仿宋_GB2312" w:eastAsia="仿宋_GB2312"/>
      <w:sz w:val="28"/>
    </w:rPr>
  </w:style>
  <w:style w:type="paragraph" w:customStyle="1" w:styleId="67">
    <w:name w:val="783标题3"/>
    <w:basedOn w:val="9"/>
    <w:qFormat/>
    <w:uiPriority w:val="0"/>
    <w:pPr>
      <w:numPr>
        <w:numId w:val="7"/>
      </w:numPr>
      <w:spacing w:before="0" w:after="120" w:afterLines="50" w:line="240" w:lineRule="auto"/>
      <w:jc w:val="left"/>
    </w:pPr>
    <w:rPr>
      <w:rFonts w:ascii="宋体" w:hAnsi="宋体"/>
      <w:sz w:val="28"/>
    </w:rPr>
  </w:style>
  <w:style w:type="paragraph" w:customStyle="1" w:styleId="68">
    <w:name w:val="783标题4"/>
    <w:basedOn w:val="10"/>
    <w:qFormat/>
    <w:uiPriority w:val="0"/>
    <w:pPr>
      <w:numPr>
        <w:numId w:val="7"/>
      </w:numPr>
      <w:spacing w:before="0" w:after="50" w:afterLines="50" w:line="240" w:lineRule="auto"/>
      <w:jc w:val="left"/>
    </w:pPr>
    <w:rPr>
      <w:rFonts w:ascii="楷体" w:eastAsia="仿宋_GB2312"/>
    </w:rPr>
  </w:style>
  <w:style w:type="paragraph" w:customStyle="1" w:styleId="69">
    <w:name w:val="783图表注样式"/>
    <w:basedOn w:val="66"/>
    <w:qFormat/>
    <w:uiPriority w:val="1"/>
    <w:pPr>
      <w:spacing w:line="240" w:lineRule="auto"/>
      <w:ind w:firstLine="0" w:firstLineChars="0"/>
      <w:jc w:val="center"/>
    </w:pPr>
    <w:rPr>
      <w:rFonts w:hAnsi="等线"/>
      <w:kern w:val="2"/>
      <w:szCs w:val="22"/>
    </w:rPr>
  </w:style>
  <w:style w:type="paragraph" w:customStyle="1" w:styleId="70">
    <w:name w:val="题注表格"/>
    <w:qFormat/>
    <w:uiPriority w:val="10"/>
    <w:pPr>
      <w:keepNext/>
      <w:spacing w:before="50" w:beforeLines="50"/>
      <w:jc w:val="center"/>
    </w:pPr>
    <w:rPr>
      <w:rFonts w:ascii="Times New Roman" w:hAnsi="Times New Roman" w:eastAsia="黑体" w:cs="Times New Roman"/>
      <w:bCs/>
      <w:iCs/>
      <w:kern w:val="0"/>
      <w:sz w:val="24"/>
      <w:szCs w:val="28"/>
      <w:lang w:val="zh-CN" w:eastAsia="zh-CN" w:bidi="ar-SA"/>
    </w:rPr>
  </w:style>
  <w:style w:type="character" w:customStyle="1" w:styleId="71">
    <w:name w:val="783表格正文样式 Char"/>
    <w:link w:val="72"/>
    <w:qFormat/>
    <w:uiPriority w:val="1"/>
    <w:rPr>
      <w:rFonts w:ascii="宋体" w:hAnsi="等线" w:eastAsia="宋体"/>
      <w:kern w:val="2"/>
      <w:sz w:val="21"/>
      <w:szCs w:val="22"/>
    </w:rPr>
  </w:style>
  <w:style w:type="paragraph" w:customStyle="1" w:styleId="72">
    <w:name w:val="783表格正文样式"/>
    <w:basedOn w:val="66"/>
    <w:link w:val="71"/>
    <w:qFormat/>
    <w:uiPriority w:val="1"/>
    <w:pPr>
      <w:spacing w:before="15" w:beforeLines="15" w:after="30" w:afterLines="30" w:line="240" w:lineRule="auto"/>
      <w:ind w:firstLine="0" w:firstLineChars="0"/>
    </w:pPr>
    <w:rPr>
      <w:rFonts w:ascii="宋体" w:hAnsi="等线" w:eastAsia="宋体"/>
      <w:kern w:val="2"/>
      <w:sz w:val="21"/>
      <w:szCs w:val="22"/>
    </w:rPr>
  </w:style>
  <w:style w:type="paragraph" w:customStyle="1" w:styleId="73">
    <w:name w:val="783标题5"/>
    <w:basedOn w:val="68"/>
    <w:next w:val="66"/>
    <w:qFormat/>
    <w:uiPriority w:val="0"/>
    <w:pPr>
      <w:numPr>
        <w:ilvl w:val="4"/>
      </w:numPr>
      <w:tabs>
        <w:tab w:val="left" w:pos="1560"/>
      </w:tabs>
      <w:spacing w:after="120"/>
      <w:ind w:left="0" w:firstLine="0"/>
      <w:outlineLvl w:val="4"/>
    </w:pPr>
    <w:rPr>
      <w:rFonts w:hAnsi="等线 Light"/>
      <w:kern w:val="2"/>
      <w:szCs w:val="21"/>
    </w:rPr>
  </w:style>
  <w:style w:type="paragraph" w:customStyle="1" w:styleId="74">
    <w:name w:val="表格 标题"/>
    <w:basedOn w:val="1"/>
    <w:qFormat/>
    <w:uiPriority w:val="0"/>
    <w:pPr>
      <w:widowControl w:val="0"/>
      <w:snapToGrid/>
      <w:spacing w:line="360" w:lineRule="auto"/>
      <w:ind w:firstLine="360"/>
    </w:pPr>
    <w:rPr>
      <w:rFonts w:cs="Times New Roman"/>
      <w:b/>
      <w:szCs w:val="18"/>
    </w:rPr>
  </w:style>
  <w:style w:type="paragraph" w:customStyle="1" w:styleId="75">
    <w:name w:val="表格内正文"/>
    <w:basedOn w:val="1"/>
    <w:qFormat/>
    <w:uiPriority w:val="0"/>
    <w:pPr>
      <w:widowControl w:val="0"/>
      <w:adjustRightInd w:val="0"/>
      <w:spacing w:line="360" w:lineRule="auto"/>
      <w:ind w:firstLine="0" w:firstLineChars="0"/>
    </w:pPr>
    <w:rPr>
      <w:rFonts w:cs="Times New Roman"/>
      <w:szCs w:val="21"/>
    </w:rPr>
  </w:style>
  <w:style w:type="paragraph" w:customStyle="1" w:styleId="76">
    <w:name w:val="标准文件_一级条标题"/>
    <w:basedOn w:val="77"/>
    <w:next w:val="57"/>
    <w:qFormat/>
    <w:uiPriority w:val="0"/>
    <w:pPr>
      <w:numPr>
        <w:ilvl w:val="2"/>
      </w:numPr>
      <w:tabs>
        <w:tab w:val="left" w:pos="426"/>
      </w:tabs>
      <w:spacing w:beforeLines="0" w:afterLines="0"/>
      <w:outlineLvl w:val="2"/>
    </w:pPr>
    <w:rPr>
      <w:spacing w:val="2"/>
    </w:rPr>
  </w:style>
  <w:style w:type="paragraph" w:customStyle="1" w:styleId="77">
    <w:name w:val="标准文件_章标题"/>
    <w:next w:val="1"/>
    <w:qFormat/>
    <w:locked/>
    <w:uiPriority w:val="0"/>
    <w:pPr>
      <w:numPr>
        <w:ilvl w:val="1"/>
        <w:numId w:val="8"/>
      </w:numPr>
      <w:tabs>
        <w:tab w:val="left" w:pos="426"/>
      </w:tabs>
      <w:spacing w:beforeLines="50" w:afterLines="50"/>
      <w:ind w:right="-105" w:rightChars="-50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2020-06-23T02:50:00Z</dcterms:created>
  <dc:creator>Administrator</dc:creator>
  <cp:lastModifiedBy>Administrator</cp:lastModifiedBy>
  <dcterms:modified xsi:type="dcterms:W3CDTF">2020-07-25T01:05:56Z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