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numPr>
          <w:ilvl w:val="0"/>
          <w:numId w:val="0"/>
        </w:numPr>
        <w:bidi w:val="0"/>
        <w:jc w:val="center"/>
        <w:rPr>
          <w:rFonts w:hint="eastAsia"/>
          <w:lang w:val="en-US" w:eastAsia="zh-CN"/>
        </w:rPr>
      </w:pPr>
      <w:bookmarkStart w:id="0" w:name="_Toc1493"/>
      <w:bookmarkStart w:id="1" w:name="_Toc984"/>
      <w:r>
        <w:rPr>
          <w:rFonts w:hint="eastAsia"/>
          <w:lang w:val="en-US" w:eastAsia="zh-CN"/>
        </w:rPr>
        <w:t>一、调理枪 技术规格书</w:t>
      </w:r>
      <w:bookmarkEnd w:id="0"/>
      <w:bookmarkEnd w:id="1"/>
    </w:p>
    <w:tbl>
      <w:tblPr>
        <w:tblStyle w:val="10"/>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11" w:type="dxa"/>
            <w:noWrap w:val="0"/>
            <w:vAlign w:val="center"/>
          </w:tcPr>
          <w:p>
            <w:pPr>
              <w:jc w:val="center"/>
              <w:rPr>
                <w:rFonts w:hint="eastAsia" w:asciiTheme="minorEastAsia" w:hAnsiTheme="minorEastAsia" w:eastAsiaTheme="minorEastAsia" w:cstheme="minorEastAsia"/>
                <w:vertAlign w:val="baseline"/>
                <w:lang w:val="en-US" w:eastAsia="zh-CN"/>
              </w:rPr>
            </w:pPr>
            <w:bookmarkStart w:id="2" w:name="_Toc5941"/>
            <w:bookmarkStart w:id="3" w:name="_Toc20169"/>
            <w:r>
              <w:rPr>
                <w:rFonts w:hint="eastAsia" w:asciiTheme="minorEastAsia" w:hAnsiTheme="minorEastAsia" w:eastAsiaTheme="minorEastAsia" w:cstheme="minorEastAsia"/>
                <w:sz w:val="28"/>
                <w:szCs w:val="28"/>
              </w:rPr>
              <w:drawing>
                <wp:inline distT="0" distB="0" distL="114300" distR="114300">
                  <wp:extent cx="2990850" cy="2389505"/>
                  <wp:effectExtent l="0" t="0" r="0" b="10795"/>
                  <wp:docPr id="286" name="图片 11" descr="微信图片_2017122915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11" descr="微信图片_20171229151036"/>
                          <pic:cNvPicPr>
                            <a:picLocks noChangeAspect="1"/>
                          </pic:cNvPicPr>
                        </pic:nvPicPr>
                        <pic:blipFill>
                          <a:blip r:embed="rId4"/>
                          <a:srcRect l="6465" t="12347" r="11243"/>
                          <a:stretch>
                            <a:fillRect/>
                          </a:stretch>
                        </pic:blipFill>
                        <pic:spPr>
                          <a:xfrm>
                            <a:off x="0" y="0"/>
                            <a:ext cx="2990850" cy="2389505"/>
                          </a:xfrm>
                          <a:prstGeom prst="rect">
                            <a:avLst/>
                          </a:prstGeom>
                          <a:noFill/>
                          <a:ln>
                            <a:noFill/>
                          </a:ln>
                        </pic:spPr>
                      </pic:pic>
                    </a:graphicData>
                  </a:graphic>
                </wp:inline>
              </w:drawing>
            </w:r>
          </w:p>
        </w:tc>
      </w:tr>
    </w:tbl>
    <w:p>
      <w:pPr>
        <w:pStyle w:val="13"/>
        <w:bidi w:val="0"/>
      </w:pPr>
      <w:bookmarkStart w:id="72" w:name="_GoBack"/>
      <w:bookmarkEnd w:id="72"/>
      <w:r>
        <w:rPr>
          <w:rFonts w:hint="eastAsia"/>
          <w:lang w:val="en-US" w:eastAsia="zh-CN"/>
        </w:rPr>
        <w:t>调理枪</w:t>
      </w:r>
      <w:r>
        <w:t>用途</w:t>
      </w:r>
      <w:bookmarkEnd w:id="2"/>
      <w:bookmarkEnd w:id="3"/>
    </w:p>
    <w:p>
      <w:pPr>
        <w:pStyle w:val="17"/>
        <w:bidi w:val="0"/>
      </w:pPr>
      <w:r>
        <w:rPr>
          <w:rFonts w:hint="eastAsia"/>
        </w:rPr>
        <w:t>组织开展实兵训练演习时，用于调理员对实兵交战系统终端进行现地裁决。</w:t>
      </w:r>
    </w:p>
    <w:p>
      <w:pPr>
        <w:pStyle w:val="13"/>
        <w:bidi w:val="0"/>
      </w:pPr>
      <w:bookmarkStart w:id="4" w:name="_Toc16019"/>
      <w:bookmarkStart w:id="5" w:name="_Toc14126"/>
      <w:r>
        <w:rPr>
          <w:rFonts w:hint="eastAsia"/>
          <w:lang w:val="en-US" w:eastAsia="zh-CN"/>
        </w:rPr>
        <w:t>调理枪</w:t>
      </w:r>
      <w:r>
        <w:t>组成</w:t>
      </w:r>
      <w:bookmarkEnd w:id="4"/>
      <w:bookmarkEnd w:id="5"/>
    </w:p>
    <w:p>
      <w:pPr>
        <w:pStyle w:val="18"/>
        <w:spacing w:line="420" w:lineRule="exact"/>
        <w:ind w:right="-105"/>
        <w:rPr>
          <w:rFonts w:ascii="Calibri" w:hAnsi="Calibri" w:eastAsia="仿宋_GB2312" w:cs="Calibri"/>
          <w:spacing w:val="2"/>
          <w:kern w:val="0"/>
          <w:sz w:val="28"/>
          <w:szCs w:val="21"/>
          <w:lang w:val="en-US" w:eastAsia="zh-CN" w:bidi="ar-SA"/>
        </w:rPr>
      </w:pPr>
      <w:bookmarkStart w:id="6" w:name="_Toc22379507"/>
      <w:bookmarkStart w:id="7" w:name="_Toc19102411"/>
      <w:r>
        <w:rPr>
          <w:rFonts w:ascii="Calibri" w:hAnsi="Calibri" w:cs="Calibri"/>
        </w:rPr>
        <w:t>产品主要由控制主机、电池等组成,如图所示：</w:t>
      </w:r>
    </w:p>
    <w:p>
      <w:pPr>
        <w:pStyle w:val="5"/>
        <w:jc w:val="center"/>
        <w:rPr>
          <w:lang w:val="en-US" w:eastAsia="zh-CN"/>
        </w:rPr>
        <w:sectPr>
          <w:pgSz w:w="11906" w:h="16838"/>
          <w:pgMar w:top="2098" w:right="1474" w:bottom="1984" w:left="1531" w:header="851" w:footer="992" w:gutter="0"/>
          <w:cols w:space="425" w:num="1"/>
          <w:docGrid w:type="lines" w:linePitch="312" w:charSpace="0"/>
        </w:sectPr>
      </w:pPr>
      <w:r>
        <w:rPr>
          <w:rFonts w:ascii="Calibri" w:hAnsi="Calibri" w:cs="Calibri"/>
        </w:rPr>
        <w:object>
          <v:shape id="_x0000_i1025" o:spt="75" type="#_x0000_t75" style="height:198.5pt;width:178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pPr>
        <w:pStyle w:val="13"/>
        <w:bidi w:val="0"/>
      </w:pPr>
      <w:bookmarkStart w:id="8" w:name="_Toc6984"/>
      <w:bookmarkStart w:id="9" w:name="_Toc18041"/>
      <w:r>
        <w:rPr>
          <w:rFonts w:hint="eastAsia"/>
          <w:lang w:val="en-US" w:eastAsia="zh-CN"/>
        </w:rPr>
        <w:t>调理枪功能</w:t>
      </w:r>
      <w:bookmarkEnd w:id="8"/>
      <w:bookmarkEnd w:id="9"/>
    </w:p>
    <w:p>
      <w:pPr>
        <w:pStyle w:val="14"/>
        <w:bidi w:val="0"/>
        <w:rPr>
          <w:rFonts w:ascii="Calibri" w:hAnsi="Calibri" w:cs="Calibri"/>
        </w:rPr>
      </w:pPr>
      <w:bookmarkStart w:id="10" w:name="_Toc25760"/>
      <w:bookmarkStart w:id="11" w:name="_Toc22375371"/>
      <w:bookmarkStart w:id="12" w:name="_Toc20336836"/>
      <w:r>
        <w:t>现地裁决</w:t>
      </w:r>
      <w:bookmarkEnd w:id="10"/>
      <w:bookmarkEnd w:id="11"/>
      <w:bookmarkEnd w:id="12"/>
    </w:p>
    <w:p>
      <w:pPr>
        <w:pStyle w:val="16"/>
        <w:numPr>
          <w:ilvl w:val="0"/>
          <w:numId w:val="3"/>
        </w:numPr>
        <w:bidi w:val="0"/>
      </w:pPr>
      <w:r>
        <w:t>能够对实兵交战系统各类终端进行</w:t>
      </w:r>
      <w:r>
        <w:rPr>
          <w:rFonts w:hint="eastAsia"/>
        </w:rPr>
        <w:t>裁决</w:t>
      </w:r>
      <w:r>
        <w:t>；</w:t>
      </w:r>
    </w:p>
    <w:p>
      <w:pPr>
        <w:pStyle w:val="16"/>
        <w:numPr>
          <w:ilvl w:val="0"/>
          <w:numId w:val="3"/>
        </w:numPr>
        <w:bidi w:val="0"/>
      </w:pPr>
      <w:r>
        <w:t>激光最大作用距离</w:t>
      </w:r>
      <w:r>
        <w:rPr>
          <w:rFonts w:hint="eastAsia"/>
          <w:lang w:eastAsia="zh-CN"/>
        </w:rPr>
        <w:t>：</w:t>
      </w:r>
      <w:r>
        <w:t>200米；</w:t>
      </w:r>
    </w:p>
    <w:p>
      <w:pPr>
        <w:pStyle w:val="16"/>
        <w:numPr>
          <w:ilvl w:val="0"/>
          <w:numId w:val="3"/>
        </w:numPr>
        <w:bidi w:val="0"/>
        <w:rPr>
          <w:rFonts w:cs="Calibri"/>
        </w:rPr>
      </w:pPr>
      <w:r>
        <w:t>激光光斑命中目标有效部位均能有效识别。</w:t>
      </w:r>
    </w:p>
    <w:p>
      <w:pPr>
        <w:pStyle w:val="19"/>
        <w:spacing w:line="420" w:lineRule="exact"/>
        <w:rPr>
          <w:rFonts w:ascii="黑体" w:hAnsi="黑体" w:eastAsia="黑体" w:cstheme="minorBidi"/>
          <w:b/>
          <w:spacing w:val="0"/>
          <w:sz w:val="32"/>
          <w:szCs w:val="22"/>
        </w:rPr>
      </w:pPr>
      <w:bookmarkStart w:id="13" w:name="_Toc24971"/>
      <w:bookmarkStart w:id="14" w:name="_Toc20336837"/>
      <w:bookmarkStart w:id="15" w:name="_Toc22375372"/>
      <w:r>
        <w:rPr>
          <w:rFonts w:ascii="黑体" w:hAnsi="黑体" w:eastAsia="黑体" w:cstheme="minorBidi"/>
          <w:b/>
          <w:spacing w:val="0"/>
          <w:sz w:val="32"/>
          <w:szCs w:val="22"/>
        </w:rPr>
        <w:t>昼夜模式切换</w:t>
      </w:r>
      <w:bookmarkEnd w:id="13"/>
      <w:bookmarkEnd w:id="14"/>
      <w:bookmarkEnd w:id="15"/>
    </w:p>
    <w:p>
      <w:pPr>
        <w:pStyle w:val="17"/>
        <w:bidi w:val="0"/>
      </w:pPr>
      <w:r>
        <w:t>能够对实兵交战系统各类终端进行昼夜模式切换。</w:t>
      </w:r>
    </w:p>
    <w:p>
      <w:pPr>
        <w:pStyle w:val="19"/>
        <w:spacing w:line="420" w:lineRule="exact"/>
        <w:rPr>
          <w:rFonts w:ascii="黑体" w:hAnsi="黑体" w:eastAsia="黑体" w:cstheme="minorBidi"/>
          <w:b/>
          <w:spacing w:val="0"/>
          <w:sz w:val="32"/>
          <w:szCs w:val="22"/>
        </w:rPr>
      </w:pPr>
      <w:bookmarkStart w:id="16" w:name="_Toc22375373"/>
      <w:bookmarkStart w:id="17" w:name="_Toc6247"/>
      <w:bookmarkStart w:id="18" w:name="_Toc20336838"/>
      <w:r>
        <w:rPr>
          <w:rFonts w:ascii="黑体" w:hAnsi="黑体" w:eastAsia="黑体" w:cstheme="minorBidi"/>
          <w:b/>
          <w:spacing w:val="0"/>
          <w:sz w:val="32"/>
          <w:szCs w:val="22"/>
        </w:rPr>
        <w:t>参数设置显示</w:t>
      </w:r>
      <w:bookmarkEnd w:id="16"/>
      <w:bookmarkEnd w:id="17"/>
      <w:bookmarkEnd w:id="18"/>
    </w:p>
    <w:p>
      <w:pPr>
        <w:pStyle w:val="16"/>
        <w:numPr>
          <w:ilvl w:val="0"/>
          <w:numId w:val="4"/>
        </w:numPr>
        <w:bidi w:val="0"/>
      </w:pPr>
      <w:r>
        <w:t>能够设置当前</w:t>
      </w:r>
      <w:r>
        <w:rPr>
          <w:rFonts w:hint="eastAsia"/>
        </w:rPr>
        <w:t>裁决类型</w:t>
      </w:r>
      <w:r>
        <w:t>、密钥等参数，并通过液晶显示屏显示</w:t>
      </w:r>
      <w:r>
        <w:rPr>
          <w:rFonts w:hint="eastAsia"/>
        </w:rPr>
        <w:t>裁决类型</w:t>
      </w:r>
      <w:r>
        <w:t>、密钥、电池电量、设备编号等信息；</w:t>
      </w:r>
    </w:p>
    <w:p>
      <w:pPr>
        <w:pStyle w:val="16"/>
        <w:numPr>
          <w:ilvl w:val="0"/>
          <w:numId w:val="4"/>
        </w:numPr>
        <w:bidi w:val="0"/>
        <w:rPr>
          <w:rFonts w:cs="Calibri"/>
        </w:rPr>
      </w:pPr>
      <w:r>
        <w:t>产品显示屏显示尺寸</w:t>
      </w:r>
      <w:r>
        <w:rPr>
          <w:rFonts w:hint="eastAsia"/>
          <w:lang w:eastAsia="zh-CN"/>
        </w:rPr>
        <w:t>：</w:t>
      </w:r>
      <w:r>
        <w:t>2.7英寸，分辨率</w:t>
      </w:r>
      <w:r>
        <w:rPr>
          <w:rFonts w:hint="eastAsia"/>
          <w:lang w:eastAsia="zh-CN"/>
        </w:rPr>
        <w:t>：</w:t>
      </w:r>
      <w:r>
        <w:t>128*64像素。</w:t>
      </w:r>
    </w:p>
    <w:p>
      <w:pPr>
        <w:pStyle w:val="19"/>
        <w:spacing w:line="420" w:lineRule="exact"/>
        <w:rPr>
          <w:rFonts w:ascii="黑体" w:hAnsi="黑体" w:eastAsia="黑体" w:cstheme="minorBidi"/>
          <w:b/>
          <w:spacing w:val="0"/>
          <w:sz w:val="32"/>
          <w:szCs w:val="22"/>
        </w:rPr>
      </w:pPr>
      <w:bookmarkStart w:id="19" w:name="_Toc22375374"/>
      <w:bookmarkStart w:id="20" w:name="_Toc20336839"/>
      <w:bookmarkStart w:id="21" w:name="_Toc9261"/>
      <w:r>
        <w:rPr>
          <w:rFonts w:ascii="黑体" w:hAnsi="黑体" w:eastAsia="黑体" w:cstheme="minorBidi"/>
          <w:b/>
          <w:spacing w:val="0"/>
          <w:sz w:val="32"/>
          <w:szCs w:val="22"/>
        </w:rPr>
        <w:t>重量</w:t>
      </w:r>
      <w:bookmarkEnd w:id="19"/>
      <w:bookmarkEnd w:id="20"/>
      <w:bookmarkEnd w:id="21"/>
    </w:p>
    <w:p>
      <w:pPr>
        <w:pStyle w:val="17"/>
        <w:bidi w:val="0"/>
      </w:pPr>
      <w:r>
        <w:t>控制主机重量：1kg（单组电池）。</w:t>
      </w:r>
    </w:p>
    <w:p>
      <w:pPr>
        <w:pStyle w:val="19"/>
        <w:spacing w:line="420" w:lineRule="exact"/>
        <w:rPr>
          <w:rFonts w:ascii="黑体" w:hAnsi="黑体" w:eastAsia="黑体" w:cstheme="minorBidi"/>
          <w:b/>
          <w:spacing w:val="0"/>
          <w:sz w:val="32"/>
          <w:szCs w:val="22"/>
        </w:rPr>
      </w:pPr>
      <w:bookmarkStart w:id="22" w:name="_Toc22375375"/>
      <w:bookmarkStart w:id="23" w:name="_Toc20336840"/>
      <w:bookmarkStart w:id="24" w:name="_Toc1085"/>
      <w:r>
        <w:rPr>
          <w:rFonts w:ascii="黑体" w:hAnsi="黑体" w:eastAsia="黑体" w:cstheme="minorBidi"/>
          <w:b/>
          <w:spacing w:val="0"/>
          <w:sz w:val="32"/>
          <w:szCs w:val="22"/>
        </w:rPr>
        <w:t>尺寸</w:t>
      </w:r>
      <w:bookmarkEnd w:id="22"/>
      <w:bookmarkEnd w:id="23"/>
      <w:bookmarkEnd w:id="24"/>
    </w:p>
    <w:p>
      <w:pPr>
        <w:pStyle w:val="17"/>
        <w:bidi w:val="0"/>
      </w:pPr>
      <w:r>
        <w:t>控制主机尺寸：长×宽×高200mm×150mm×30mm。</w:t>
      </w:r>
    </w:p>
    <w:p>
      <w:pPr>
        <w:pStyle w:val="19"/>
        <w:spacing w:line="420" w:lineRule="exact"/>
        <w:rPr>
          <w:rFonts w:ascii="黑体" w:hAnsi="黑体" w:eastAsia="黑体" w:cstheme="minorBidi"/>
          <w:b/>
          <w:spacing w:val="0"/>
          <w:sz w:val="32"/>
          <w:szCs w:val="22"/>
        </w:rPr>
      </w:pPr>
      <w:bookmarkStart w:id="25" w:name="_Toc20336841"/>
      <w:bookmarkStart w:id="26" w:name="_Toc23706"/>
      <w:bookmarkStart w:id="27" w:name="_Toc22375376"/>
      <w:r>
        <w:rPr>
          <w:rFonts w:ascii="黑体" w:hAnsi="黑体" w:eastAsia="黑体" w:cstheme="minorBidi"/>
          <w:b/>
          <w:spacing w:val="0"/>
          <w:sz w:val="32"/>
          <w:szCs w:val="22"/>
        </w:rPr>
        <w:t>辅助管理</w:t>
      </w:r>
      <w:bookmarkEnd w:id="25"/>
      <w:bookmarkEnd w:id="26"/>
      <w:bookmarkEnd w:id="27"/>
    </w:p>
    <w:p>
      <w:pPr>
        <w:pStyle w:val="16"/>
        <w:numPr>
          <w:ilvl w:val="0"/>
          <w:numId w:val="5"/>
        </w:numPr>
        <w:bidi w:val="0"/>
      </w:pPr>
      <w:r>
        <w:t>配置用于器材管理的无源RFID电子标签，标签内预置产品名称、产品编号、生产单位代字、所属单位代字等基本信息，标签类型和工作频率等参数应与配套的器材信息化管理系统读写设备相一致；</w:t>
      </w:r>
    </w:p>
    <w:p>
      <w:pPr>
        <w:pStyle w:val="16"/>
        <w:numPr>
          <w:ilvl w:val="0"/>
          <w:numId w:val="5"/>
        </w:numPr>
        <w:bidi w:val="0"/>
      </w:pPr>
      <w:r>
        <w:t>产品在包装状态下通过配套的器材信息化管理系统出入库时，系统能读取RFID储存的相关信息。</w:t>
      </w:r>
    </w:p>
    <w:p>
      <w:pPr>
        <w:widowControl/>
        <w:adjustRightInd/>
        <w:spacing w:line="240" w:lineRule="auto"/>
        <w:ind w:firstLine="0"/>
        <w:jc w:val="left"/>
        <w:rPr>
          <w:rFonts w:ascii="Calibri" w:hAnsi="Calibri" w:cs="Calibri"/>
          <w:szCs w:val="21"/>
        </w:rPr>
      </w:pPr>
      <w:r>
        <w:rPr>
          <w:rFonts w:cs="Calibri"/>
        </w:rPr>
        <w:br w:type="page"/>
      </w:r>
    </w:p>
    <w:p>
      <w:pPr>
        <w:pStyle w:val="13"/>
        <w:bidi w:val="0"/>
      </w:pPr>
      <w:bookmarkStart w:id="28" w:name="_Toc20336842"/>
      <w:bookmarkStart w:id="29" w:name="_Toc8723463"/>
      <w:bookmarkStart w:id="30" w:name="_Toc8650"/>
      <w:bookmarkStart w:id="31" w:name="_Toc22375377"/>
      <w:r>
        <w:t>接口</w:t>
      </w:r>
      <w:bookmarkEnd w:id="28"/>
      <w:bookmarkEnd w:id="29"/>
      <w:bookmarkEnd w:id="30"/>
      <w:bookmarkEnd w:id="31"/>
    </w:p>
    <w:p>
      <w:pPr>
        <w:pStyle w:val="14"/>
        <w:bidi w:val="0"/>
      </w:pPr>
      <w:bookmarkStart w:id="32" w:name="_Toc20336843"/>
      <w:bookmarkStart w:id="33" w:name="_Toc32658"/>
      <w:bookmarkStart w:id="34" w:name="_Toc22375378"/>
      <w:r>
        <w:t>激光光学接口</w:t>
      </w:r>
      <w:bookmarkEnd w:id="32"/>
      <w:bookmarkEnd w:id="33"/>
      <w:bookmarkEnd w:id="34"/>
    </w:p>
    <w:p>
      <w:pPr>
        <w:pStyle w:val="17"/>
        <w:bidi w:val="0"/>
      </w:pPr>
      <w:r>
        <w:t>激光发射器激光光学特性、编解码标准符合LSJT-JKXY-01《</w:t>
      </w:r>
      <w:r>
        <w:rPr>
          <w:rFonts w:hint="eastAsia"/>
        </w:rPr>
        <w:t>陆军实兵交战系统红外激光光学接口规范</w:t>
      </w:r>
      <w:r>
        <w:t>》的要求。</w:t>
      </w:r>
    </w:p>
    <w:p>
      <w:pPr>
        <w:pStyle w:val="14"/>
        <w:bidi w:val="0"/>
      </w:pPr>
      <w:bookmarkStart w:id="35" w:name="_Toc22375379"/>
      <w:bookmarkStart w:id="36" w:name="_Toc21925"/>
      <w:bookmarkStart w:id="37" w:name="_Toc20336844"/>
      <w:r>
        <w:t>信息交互接口</w:t>
      </w:r>
      <w:bookmarkEnd w:id="35"/>
      <w:bookmarkEnd w:id="36"/>
      <w:bookmarkEnd w:id="37"/>
    </w:p>
    <w:p>
      <w:pPr>
        <w:pStyle w:val="17"/>
        <w:bidi w:val="0"/>
      </w:pPr>
      <w:r>
        <w:t>产品设计外部数据接口，满足导控系统数据输入输出要求。</w:t>
      </w:r>
    </w:p>
    <w:bookmarkEnd w:id="6"/>
    <w:bookmarkEnd w:id="7"/>
    <w:p>
      <w:pPr>
        <w:pStyle w:val="13"/>
        <w:bidi w:val="0"/>
      </w:pPr>
      <w:bookmarkStart w:id="38" w:name="_Toc27743"/>
      <w:bookmarkStart w:id="39" w:name="_Toc17259"/>
      <w:bookmarkStart w:id="40" w:name="_Toc19102415"/>
      <w:bookmarkStart w:id="41" w:name="_Toc22379511"/>
      <w:r>
        <w:rPr>
          <w:rFonts w:hint="eastAsia"/>
        </w:rPr>
        <w:t>六性</w:t>
      </w:r>
      <w:r>
        <w:rPr>
          <w:rFonts w:hint="eastAsia"/>
          <w:lang w:eastAsia="zh-CN"/>
        </w:rPr>
        <w:t>指标</w:t>
      </w:r>
      <w:bookmarkEnd w:id="38"/>
      <w:bookmarkEnd w:id="39"/>
    </w:p>
    <w:p>
      <w:pPr>
        <w:pStyle w:val="14"/>
        <w:bidi w:val="0"/>
        <w:rPr>
          <w:rFonts w:hint="eastAsia"/>
        </w:rPr>
      </w:pPr>
      <w:bookmarkStart w:id="42" w:name="_Toc32600"/>
      <w:bookmarkStart w:id="43" w:name="_Toc25753"/>
      <w:r>
        <w:rPr>
          <w:rFonts w:hint="eastAsia"/>
        </w:rPr>
        <w:t>可靠性</w:t>
      </w:r>
      <w:bookmarkEnd w:id="42"/>
      <w:bookmarkEnd w:id="43"/>
    </w:p>
    <w:p>
      <w:pPr>
        <w:bidi w:val="0"/>
        <w:ind w:firstLine="560" w:firstLineChars="200"/>
      </w:pPr>
      <w:r>
        <w:rPr>
          <w:rFonts w:hint="eastAsia"/>
        </w:rPr>
        <w:t>MTBF≥</w:t>
      </w:r>
      <w:r>
        <w:rPr>
          <w:rFonts w:hint="eastAsia"/>
          <w:lang w:val="en-US" w:eastAsia="zh-CN"/>
        </w:rPr>
        <w:t>3</w:t>
      </w:r>
      <w:r>
        <w:rPr>
          <w:rFonts w:hint="eastAsia"/>
        </w:rPr>
        <w:t>00h。</w:t>
      </w:r>
    </w:p>
    <w:p>
      <w:pPr>
        <w:pStyle w:val="14"/>
        <w:bidi w:val="0"/>
        <w:rPr>
          <w:rFonts w:hint="eastAsia"/>
        </w:rPr>
      </w:pPr>
      <w:bookmarkStart w:id="44" w:name="_Toc20058"/>
      <w:bookmarkStart w:id="45" w:name="_Toc8505"/>
      <w:r>
        <w:rPr>
          <w:rFonts w:hint="eastAsia"/>
        </w:rPr>
        <w:t>维修性</w:t>
      </w:r>
      <w:bookmarkEnd w:id="44"/>
      <w:bookmarkEnd w:id="45"/>
    </w:p>
    <w:p>
      <w:pPr>
        <w:bidi w:val="0"/>
        <w:ind w:firstLine="560" w:firstLineChars="200"/>
      </w:pPr>
      <w:r>
        <w:rPr>
          <w:rFonts w:hint="eastAsia"/>
        </w:rPr>
        <w:t>MTTR≤30min。</w:t>
      </w:r>
    </w:p>
    <w:p>
      <w:pPr>
        <w:pStyle w:val="14"/>
        <w:bidi w:val="0"/>
        <w:rPr>
          <w:rFonts w:hint="eastAsia"/>
        </w:rPr>
      </w:pPr>
      <w:bookmarkStart w:id="46" w:name="_Toc6907"/>
      <w:bookmarkStart w:id="47" w:name="_Toc12493"/>
      <w:r>
        <w:rPr>
          <w:rFonts w:hint="eastAsia"/>
        </w:rPr>
        <w:t>保障性</w:t>
      </w:r>
      <w:bookmarkEnd w:id="46"/>
      <w:bookmarkEnd w:id="47"/>
    </w:p>
    <w:p>
      <w:pPr>
        <w:numPr>
          <w:ilvl w:val="0"/>
          <w:numId w:val="6"/>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6"/>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6"/>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6"/>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6"/>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14"/>
        <w:bidi w:val="0"/>
      </w:pPr>
      <w:bookmarkStart w:id="48" w:name="_Toc21467"/>
      <w:bookmarkStart w:id="49" w:name="_Toc32726"/>
      <w:r>
        <w:rPr>
          <w:rFonts w:hint="eastAsia"/>
        </w:rPr>
        <w:t>测试性</w:t>
      </w:r>
      <w:bookmarkEnd w:id="48"/>
      <w:bookmarkEnd w:id="49"/>
    </w:p>
    <w:p>
      <w:pPr>
        <w:numPr>
          <w:ilvl w:val="0"/>
          <w:numId w:val="6"/>
        </w:numPr>
        <w:bidi w:val="0"/>
      </w:pPr>
      <w:r>
        <w:t>具有开机自检功能，检测内容包括火工品安装检测、定位状态检测等</w:t>
      </w:r>
    </w:p>
    <w:p>
      <w:pPr>
        <w:numPr>
          <w:ilvl w:val="0"/>
          <w:numId w:val="6"/>
        </w:numPr>
        <w:bidi w:val="0"/>
        <w:ind w:left="420" w:leftChars="0" w:hanging="420" w:firstLineChars="0"/>
      </w:pPr>
      <w:r>
        <w:rPr>
          <w:rFonts w:hint="eastAsia"/>
        </w:rPr>
        <w:t>产品能根据故障检测设备的测试指令自动完成故障定位输出，虚警率2%；</w:t>
      </w:r>
    </w:p>
    <w:p>
      <w:pPr>
        <w:numPr>
          <w:ilvl w:val="0"/>
          <w:numId w:val="6"/>
        </w:numPr>
        <w:bidi w:val="0"/>
        <w:ind w:left="420" w:leftChars="0" w:hanging="420" w:firstLineChars="0"/>
      </w:pPr>
      <w:r>
        <w:rPr>
          <w:rFonts w:hint="eastAsia"/>
        </w:rPr>
        <w:t>产品故障隔离率95%。</w:t>
      </w:r>
    </w:p>
    <w:p>
      <w:pPr>
        <w:pStyle w:val="14"/>
        <w:bidi w:val="0"/>
      </w:pPr>
      <w:bookmarkStart w:id="50" w:name="_Toc22435"/>
      <w:bookmarkStart w:id="51" w:name="_Toc16666"/>
      <w:r>
        <w:rPr>
          <w:rFonts w:hint="eastAsia"/>
        </w:rPr>
        <w:t>安全性</w:t>
      </w:r>
      <w:bookmarkEnd w:id="50"/>
      <w:bookmarkEnd w:id="51"/>
    </w:p>
    <w:p>
      <w:pPr>
        <w:numPr>
          <w:ilvl w:val="0"/>
          <w:numId w:val="6"/>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6"/>
        </w:numPr>
        <w:bidi w:val="0"/>
        <w:ind w:left="420" w:leftChars="0" w:hanging="420" w:firstLineChars="0"/>
      </w:pPr>
      <w:r>
        <w:rPr>
          <w:rFonts w:hint="eastAsia"/>
        </w:rPr>
        <w:t>产品符合相应人眼危害距离要求；</w:t>
      </w:r>
    </w:p>
    <w:p>
      <w:pPr>
        <w:numPr>
          <w:ilvl w:val="0"/>
          <w:numId w:val="6"/>
        </w:numPr>
        <w:bidi w:val="0"/>
        <w:ind w:left="420" w:leftChars="0" w:hanging="420" w:firstLineChars="0"/>
      </w:pPr>
      <w:r>
        <w:rPr>
          <w:rFonts w:hint="eastAsia"/>
        </w:rPr>
        <w:t>产品火工品安装处有安全警示标志和操作规程；</w:t>
      </w:r>
    </w:p>
    <w:p>
      <w:pPr>
        <w:numPr>
          <w:ilvl w:val="0"/>
          <w:numId w:val="6"/>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6"/>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6"/>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6"/>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6"/>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14"/>
        <w:bidi w:val="0"/>
        <w:rPr>
          <w:rFonts w:hint="eastAsia"/>
        </w:rPr>
      </w:pPr>
      <w:bookmarkStart w:id="52" w:name="_Toc15142"/>
      <w:bookmarkStart w:id="53" w:name="_Toc24836"/>
      <w:r>
        <w:rPr>
          <w:rFonts w:hint="eastAsia"/>
        </w:rPr>
        <w:t>环境适应性</w:t>
      </w:r>
      <w:bookmarkEnd w:id="52"/>
      <w:bookmarkEnd w:id="53"/>
    </w:p>
    <w:p>
      <w:pPr>
        <w:pStyle w:val="15"/>
        <w:bidi w:val="0"/>
      </w:pPr>
      <w:r>
        <w:rPr>
          <w:rFonts w:hint="eastAsia"/>
        </w:rPr>
        <w:t>低温工作</w:t>
      </w:r>
    </w:p>
    <w:p>
      <w:pPr>
        <w:pStyle w:val="17"/>
        <w:bidi w:val="0"/>
      </w:pPr>
      <w:r>
        <w:rPr>
          <w:rFonts w:hint="eastAsia"/>
        </w:rPr>
        <w:t>产品满足：产品在-20℃环境温度下连续工作4小时，工作期间产品功能正常。</w:t>
      </w:r>
    </w:p>
    <w:p>
      <w:pPr>
        <w:pStyle w:val="15"/>
        <w:bidi w:val="0"/>
      </w:pPr>
      <w:r>
        <w:rPr>
          <w:rFonts w:hint="eastAsia"/>
        </w:rPr>
        <w:t>低温贮存</w:t>
      </w:r>
    </w:p>
    <w:p>
      <w:pPr>
        <w:pStyle w:val="17"/>
        <w:bidi w:val="0"/>
      </w:pPr>
      <w:r>
        <w:rPr>
          <w:rFonts w:hint="eastAsia"/>
        </w:rPr>
        <w:t>产品在-30℃环境温度下连续贮存12小时后再将产品置于正常环境条件下，达到温度稳定后，产品的功能正常。</w:t>
      </w:r>
    </w:p>
    <w:p>
      <w:pPr>
        <w:pStyle w:val="15"/>
        <w:bidi w:val="0"/>
      </w:pPr>
      <w:r>
        <w:rPr>
          <w:rFonts w:hint="eastAsia"/>
        </w:rPr>
        <w:t>高温工作</w:t>
      </w:r>
    </w:p>
    <w:p>
      <w:pPr>
        <w:pStyle w:val="17"/>
        <w:bidi w:val="0"/>
      </w:pPr>
      <w:r>
        <w:rPr>
          <w:rFonts w:hint="eastAsia"/>
        </w:rPr>
        <w:t>产品在60℃环境温度下连续工作4小时，工作期间产品功能正常。</w:t>
      </w:r>
    </w:p>
    <w:p>
      <w:pPr>
        <w:pStyle w:val="15"/>
        <w:bidi w:val="0"/>
      </w:pPr>
      <w:r>
        <w:rPr>
          <w:rFonts w:hint="eastAsia"/>
        </w:rPr>
        <w:t>高温贮存</w:t>
      </w:r>
    </w:p>
    <w:p>
      <w:pPr>
        <w:pStyle w:val="17"/>
        <w:bidi w:val="0"/>
      </w:pPr>
      <w:r>
        <w:rPr>
          <w:rFonts w:hint="eastAsia"/>
        </w:rPr>
        <w:t>产品在70℃环境温度下连续贮存12小时后再将产品置于正常环境条件下，达到温度稳定后，产品的功能正常。</w:t>
      </w:r>
    </w:p>
    <w:p>
      <w:pPr>
        <w:pStyle w:val="15"/>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15"/>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15"/>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15"/>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bookmarkEnd w:id="40"/>
      <w:bookmarkEnd w:id="41"/>
      <w:bookmarkStart w:id="54" w:name="_Toc19102429"/>
      <w:bookmarkStart w:id="55" w:name="_Toc22379525"/>
      <w:bookmarkStart w:id="56" w:name="_Toc8916849"/>
    </w:p>
    <w:p>
      <w:pPr>
        <w:pStyle w:val="13"/>
        <w:bidi w:val="0"/>
      </w:pPr>
      <w:bookmarkStart w:id="57" w:name="_Toc3764"/>
      <w:bookmarkStart w:id="58" w:name="_Toc19860"/>
      <w:r>
        <w:t>电磁兼容性要求</w:t>
      </w:r>
      <w:bookmarkEnd w:id="54"/>
      <w:bookmarkEnd w:id="55"/>
      <w:bookmarkEnd w:id="56"/>
      <w:bookmarkEnd w:id="57"/>
      <w:bookmarkEnd w:id="58"/>
    </w:p>
    <w:p>
      <w:pPr>
        <w:pStyle w:val="17"/>
        <w:bidi w:val="0"/>
      </w:pPr>
      <w:r>
        <w:rPr>
          <w:rFonts w:hint="eastAsia"/>
          <w:lang w:eastAsia="zh-CN"/>
        </w:rPr>
        <w:t>发射机</w:t>
      </w:r>
      <w:r>
        <w:t>满足GJB151B-2013《军用设备和分系统电磁发射和敏感度要求与测量》中对陆军地面设备的以下测试条款限值要求（含剪裁要求）：</w:t>
      </w:r>
    </w:p>
    <w:p>
      <w:pPr>
        <w:pStyle w:val="16"/>
        <w:numPr>
          <w:ilvl w:val="0"/>
          <w:numId w:val="7"/>
        </w:numPr>
        <w:bidi w:val="0"/>
      </w:pPr>
      <w:r>
        <w:t>RS103电场辐射敏感度（10kHz～40GHz）：10V/m；</w:t>
      </w:r>
    </w:p>
    <w:p>
      <w:pPr>
        <w:pStyle w:val="16"/>
        <w:numPr>
          <w:ilvl w:val="0"/>
          <w:numId w:val="7"/>
        </w:numPr>
        <w:bidi w:val="0"/>
      </w:pPr>
      <w:r>
        <w:t>CS114电缆束注入传导敏感度（4kHz～400MHz）：曲线二；</w:t>
      </w:r>
    </w:p>
    <w:p>
      <w:pPr>
        <w:pStyle w:val="16"/>
        <w:numPr>
          <w:ilvl w:val="0"/>
          <w:numId w:val="7"/>
        </w:numPr>
        <w:bidi w:val="0"/>
      </w:pPr>
      <w:r>
        <w:t>CS115电缆束注入脉冲激励传导敏感度：5A；</w:t>
      </w:r>
    </w:p>
    <w:p>
      <w:pPr>
        <w:pStyle w:val="16"/>
        <w:numPr>
          <w:ilvl w:val="0"/>
          <w:numId w:val="7"/>
        </w:numPr>
        <w:bidi w:val="0"/>
      </w:pPr>
      <w:r>
        <w:t>CS116电缆和电源线阻尼正弦瞬态传导敏感度（10kHz～100MHz）：标准限值；</w:t>
      </w:r>
    </w:p>
    <w:p>
      <w:pPr>
        <w:pStyle w:val="16"/>
        <w:numPr>
          <w:ilvl w:val="0"/>
          <w:numId w:val="7"/>
        </w:numPr>
        <w:bidi w:val="0"/>
      </w:pPr>
      <w:r>
        <w:t>RE102电场辐射发射（10kHz～18GHz）：标准限值+20dB。</w:t>
      </w:r>
    </w:p>
    <w:p>
      <w:pPr>
        <w:pStyle w:val="13"/>
        <w:bidi w:val="0"/>
      </w:pPr>
      <w:bookmarkStart w:id="59" w:name="_Toc8723475"/>
      <w:bookmarkStart w:id="60" w:name="_Toc22376172"/>
      <w:bookmarkStart w:id="61" w:name="_Toc13608"/>
      <w:bookmarkStart w:id="62" w:name="_Toc19624"/>
      <w:bookmarkStart w:id="63" w:name="_Toc20341456"/>
      <w:r>
        <w:t>供电</w:t>
      </w:r>
      <w:bookmarkEnd w:id="59"/>
      <w:bookmarkEnd w:id="60"/>
      <w:bookmarkEnd w:id="61"/>
      <w:bookmarkEnd w:id="62"/>
      <w:bookmarkEnd w:id="63"/>
    </w:p>
    <w:p>
      <w:pPr>
        <w:pStyle w:val="16"/>
        <w:numPr>
          <w:ilvl w:val="0"/>
          <w:numId w:val="8"/>
        </w:numPr>
        <w:bidi w:val="0"/>
      </w:pPr>
      <w:r>
        <w:t>采用锂电池供电，规格参数符合GJB916B-2011《军用锂电池产品规范》的要求；</w:t>
      </w:r>
    </w:p>
    <w:p>
      <w:pPr>
        <w:pStyle w:val="16"/>
        <w:numPr>
          <w:ilvl w:val="0"/>
          <w:numId w:val="8"/>
        </w:numPr>
        <w:bidi w:val="0"/>
      </w:pPr>
      <w:r>
        <w:t>电池容量满足连续工作时间</w:t>
      </w:r>
      <w:r>
        <w:rPr>
          <w:rFonts w:hint="eastAsia"/>
          <w:lang w:eastAsia="zh-CN"/>
        </w:rPr>
        <w:t>：</w:t>
      </w:r>
      <w:r>
        <w:t>12h（单组电池）要求；</w:t>
      </w:r>
    </w:p>
    <w:p>
      <w:pPr>
        <w:pStyle w:val="16"/>
        <w:numPr>
          <w:ilvl w:val="0"/>
          <w:numId w:val="8"/>
        </w:numPr>
        <w:bidi w:val="0"/>
      </w:pPr>
      <w:r>
        <w:t>单组电池充电时间：6h；</w:t>
      </w:r>
    </w:p>
    <w:p>
      <w:pPr>
        <w:pStyle w:val="16"/>
        <w:numPr>
          <w:ilvl w:val="0"/>
          <w:numId w:val="8"/>
        </w:numPr>
        <w:bidi w:val="0"/>
      </w:pPr>
      <w:r>
        <w:t>产品提供1组备用电池。</w:t>
      </w:r>
    </w:p>
    <w:p>
      <w:pPr>
        <w:pStyle w:val="13"/>
        <w:bidi w:val="0"/>
      </w:pPr>
      <w:bookmarkStart w:id="64" w:name="_Toc3454"/>
      <w:bookmarkStart w:id="65" w:name="_Toc22376173"/>
      <w:bookmarkStart w:id="66" w:name="_Toc20341457"/>
      <w:bookmarkStart w:id="67" w:name="_Toc24415"/>
      <w:r>
        <w:t>安装使用</w:t>
      </w:r>
      <w:bookmarkEnd w:id="64"/>
      <w:bookmarkEnd w:id="65"/>
      <w:bookmarkEnd w:id="66"/>
      <w:bookmarkEnd w:id="67"/>
    </w:p>
    <w:p>
      <w:pPr>
        <w:pStyle w:val="16"/>
        <w:numPr>
          <w:ilvl w:val="0"/>
          <w:numId w:val="9"/>
        </w:numPr>
        <w:bidi w:val="0"/>
      </w:pPr>
      <w:bookmarkStart w:id="68" w:name="_Toc22379534"/>
      <w:bookmarkStart w:id="69" w:name="_Toc19102438"/>
      <w:r>
        <w:t>为手持设备，无需校准，开机即可使用；</w:t>
      </w:r>
    </w:p>
    <w:p>
      <w:pPr>
        <w:pStyle w:val="16"/>
        <w:numPr>
          <w:ilvl w:val="0"/>
          <w:numId w:val="9"/>
        </w:numPr>
        <w:bidi w:val="0"/>
      </w:pPr>
      <w:r>
        <w:t>配套携行包，可方便调理员外场携带。</w:t>
      </w:r>
    </w:p>
    <w:p>
      <w:pPr>
        <w:pStyle w:val="13"/>
        <w:bidi w:val="0"/>
      </w:pPr>
      <w:bookmarkStart w:id="70" w:name="_Toc16913"/>
      <w:bookmarkStart w:id="71" w:name="_Toc18966"/>
      <w:r>
        <w:t>成套性</w:t>
      </w:r>
      <w:bookmarkEnd w:id="68"/>
      <w:bookmarkEnd w:id="69"/>
      <w:bookmarkEnd w:id="70"/>
      <w:bookmarkEnd w:id="71"/>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4"/>
        <w:gridCol w:w="2339"/>
        <w:gridCol w:w="662"/>
        <w:gridCol w:w="948"/>
        <w:gridCol w:w="4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top w:val="single" w:color="000000" w:sz="12" w:space="0"/>
              <w:left w:val="single" w:color="000000" w:sz="12" w:space="0"/>
              <w:bottom w:val="single" w:color="000000" w:sz="12" w:space="0"/>
            </w:tcBorders>
            <w:shd w:val="clear" w:color="auto" w:fill="auto"/>
            <w:vAlign w:val="center"/>
          </w:tcPr>
          <w:p>
            <w:pPr>
              <w:pStyle w:val="18"/>
              <w:spacing w:line="310" w:lineRule="exact"/>
              <w:ind w:right="-105" w:firstLine="0" w:firstLineChars="0"/>
              <w:jc w:val="center"/>
              <w:rPr>
                <w:rFonts w:ascii="Calibri" w:hAnsi="Calibri" w:cs="Calibri"/>
                <w:b/>
                <w:sz w:val="18"/>
                <w:szCs w:val="18"/>
              </w:rPr>
            </w:pPr>
            <w:r>
              <w:rPr>
                <w:rFonts w:ascii="Calibri" w:hAnsi="Calibri" w:cs="Calibri"/>
                <w:b/>
                <w:bCs/>
                <w:sz w:val="18"/>
                <w:szCs w:val="18"/>
              </w:rPr>
              <w:t>序号</w:t>
            </w:r>
          </w:p>
        </w:tc>
        <w:tc>
          <w:tcPr>
            <w:tcW w:w="2410" w:type="dxa"/>
            <w:tcBorders>
              <w:top w:val="single" w:color="000000" w:sz="12" w:space="0"/>
              <w:bottom w:val="single" w:color="000000" w:sz="12" w:space="0"/>
            </w:tcBorders>
            <w:shd w:val="clear" w:color="auto" w:fill="auto"/>
            <w:vAlign w:val="center"/>
          </w:tcPr>
          <w:p>
            <w:pPr>
              <w:pStyle w:val="18"/>
              <w:spacing w:line="310" w:lineRule="exact"/>
              <w:ind w:right="-105" w:firstLine="0" w:firstLineChars="0"/>
              <w:jc w:val="center"/>
              <w:rPr>
                <w:rFonts w:ascii="Calibri" w:hAnsi="Calibri" w:cs="Calibri"/>
                <w:b/>
                <w:sz w:val="18"/>
                <w:szCs w:val="18"/>
              </w:rPr>
            </w:pPr>
            <w:r>
              <w:rPr>
                <w:rFonts w:ascii="Calibri" w:hAnsi="Calibri" w:cs="Calibri"/>
                <w:b/>
                <w:bCs/>
                <w:sz w:val="18"/>
                <w:szCs w:val="18"/>
              </w:rPr>
              <w:t>部件</w:t>
            </w:r>
          </w:p>
        </w:tc>
        <w:tc>
          <w:tcPr>
            <w:tcW w:w="677" w:type="dxa"/>
            <w:tcBorders>
              <w:top w:val="single" w:color="000000" w:sz="12" w:space="0"/>
              <w:bottom w:val="single" w:color="000000" w:sz="12" w:space="0"/>
            </w:tcBorders>
            <w:shd w:val="clear" w:color="auto" w:fill="auto"/>
            <w:vAlign w:val="center"/>
          </w:tcPr>
          <w:p>
            <w:pPr>
              <w:pStyle w:val="18"/>
              <w:spacing w:line="310" w:lineRule="exact"/>
              <w:ind w:right="-105" w:firstLine="0" w:firstLineChars="0"/>
              <w:jc w:val="center"/>
              <w:rPr>
                <w:rFonts w:ascii="Calibri" w:hAnsi="Calibri" w:cs="Calibri"/>
                <w:b/>
                <w:sz w:val="18"/>
                <w:szCs w:val="18"/>
              </w:rPr>
            </w:pPr>
            <w:r>
              <w:rPr>
                <w:rFonts w:ascii="Calibri" w:hAnsi="Calibri" w:cs="Calibri"/>
                <w:b/>
                <w:bCs/>
                <w:sz w:val="18"/>
                <w:szCs w:val="18"/>
              </w:rPr>
              <w:t>数量</w:t>
            </w:r>
          </w:p>
        </w:tc>
        <w:tc>
          <w:tcPr>
            <w:tcW w:w="976" w:type="dxa"/>
            <w:tcBorders>
              <w:top w:val="single" w:color="000000" w:sz="12" w:space="0"/>
              <w:bottom w:val="single" w:color="000000" w:sz="12" w:space="0"/>
            </w:tcBorders>
            <w:shd w:val="clear" w:color="auto" w:fill="auto"/>
            <w:vAlign w:val="center"/>
          </w:tcPr>
          <w:p>
            <w:pPr>
              <w:pStyle w:val="18"/>
              <w:spacing w:line="310" w:lineRule="exact"/>
              <w:ind w:right="-105" w:firstLine="0" w:firstLineChars="0"/>
              <w:jc w:val="center"/>
              <w:rPr>
                <w:rFonts w:ascii="Calibri" w:hAnsi="Calibri" w:cs="Calibri"/>
                <w:b/>
                <w:sz w:val="18"/>
                <w:szCs w:val="18"/>
              </w:rPr>
            </w:pPr>
            <w:r>
              <w:rPr>
                <w:rFonts w:ascii="Calibri" w:hAnsi="Calibri" w:cs="Calibri"/>
                <w:b/>
                <w:bCs/>
                <w:sz w:val="18"/>
                <w:szCs w:val="18"/>
              </w:rPr>
              <w:t>单位</w:t>
            </w:r>
          </w:p>
        </w:tc>
        <w:tc>
          <w:tcPr>
            <w:tcW w:w="4505" w:type="dxa"/>
            <w:tcBorders>
              <w:top w:val="single" w:color="000000" w:sz="12" w:space="0"/>
              <w:bottom w:val="single" w:color="000000" w:sz="12" w:space="0"/>
              <w:right w:val="single" w:color="000000" w:sz="12" w:space="0"/>
            </w:tcBorders>
            <w:shd w:val="clear" w:color="auto" w:fill="auto"/>
            <w:vAlign w:val="center"/>
          </w:tcPr>
          <w:p>
            <w:pPr>
              <w:pStyle w:val="18"/>
              <w:spacing w:line="310" w:lineRule="exact"/>
              <w:ind w:right="-105" w:firstLine="0" w:firstLineChars="0"/>
              <w:jc w:val="center"/>
              <w:rPr>
                <w:rFonts w:ascii="Calibri" w:hAnsi="Calibri" w:cs="Calibri"/>
                <w:b/>
                <w:sz w:val="18"/>
                <w:szCs w:val="18"/>
              </w:rPr>
            </w:pPr>
            <w:r>
              <w:rPr>
                <w:rFonts w:ascii="Calibri" w:hAnsi="Calibri" w:cs="Calibri"/>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top w:val="single" w:color="000000" w:sz="12" w:space="0"/>
              <w:left w:val="single" w:color="000000" w:sz="12" w:space="0"/>
            </w:tcBorders>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2410" w:type="dxa"/>
            <w:tcBorders>
              <w:top w:val="single" w:color="000000" w:sz="12" w:space="0"/>
            </w:tcBorders>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控制主机</w:t>
            </w:r>
          </w:p>
        </w:tc>
        <w:tc>
          <w:tcPr>
            <w:tcW w:w="677" w:type="dxa"/>
            <w:tcBorders>
              <w:top w:val="single" w:color="000000" w:sz="12" w:space="0"/>
            </w:tcBorders>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top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top w:val="single" w:color="000000" w:sz="12" w:space="0"/>
              <w:right w:val="single" w:color="000000" w:sz="12" w:space="0"/>
            </w:tcBorders>
            <w:shd w:val="clear" w:color="auto" w:fill="auto"/>
            <w:vAlign w:val="center"/>
          </w:tcPr>
          <w:p>
            <w:pPr>
              <w:pStyle w:val="18"/>
              <w:spacing w:line="310" w:lineRule="exact"/>
              <w:ind w:right="-105" w:firstLine="0" w:firstLineChars="0"/>
              <w:jc w:val="center"/>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2410" w:type="dxa"/>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携行包</w:t>
            </w:r>
          </w:p>
        </w:tc>
        <w:tc>
          <w:tcPr>
            <w:tcW w:w="677" w:type="dxa"/>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ind w:firstLine="0"/>
              <w:jc w:val="center"/>
              <w:rPr>
                <w:rFonts w:ascii="Calibri" w:hAnsi="Calibri" w:cs="Calibri"/>
                <w:szCs w:val="21"/>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18"/>
              <w:spacing w:line="310" w:lineRule="exact"/>
              <w:ind w:right="-105" w:firstLine="0" w:firstLineChars="0"/>
              <w:jc w:val="center"/>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3</w:t>
            </w:r>
          </w:p>
        </w:tc>
        <w:tc>
          <w:tcPr>
            <w:tcW w:w="2410" w:type="dxa"/>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电池</w:t>
            </w:r>
          </w:p>
        </w:tc>
        <w:tc>
          <w:tcPr>
            <w:tcW w:w="677" w:type="dxa"/>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组</w:t>
            </w:r>
          </w:p>
        </w:tc>
        <w:tc>
          <w:tcPr>
            <w:tcW w:w="4505" w:type="dxa"/>
            <w:tcBorders>
              <w:right w:val="single" w:color="000000" w:sz="12" w:space="0"/>
            </w:tcBorders>
            <w:shd w:val="clear" w:color="auto" w:fill="auto"/>
            <w:vAlign w:val="center"/>
          </w:tcPr>
          <w:p>
            <w:pPr>
              <w:pStyle w:val="18"/>
              <w:spacing w:line="310" w:lineRule="exact"/>
              <w:ind w:right="-105" w:firstLine="0" w:firstLineChars="0"/>
              <w:rPr>
                <w:rFonts w:ascii="Calibri" w:hAnsi="Calibri" w:cs="Calibri"/>
                <w:sz w:val="18"/>
                <w:szCs w:val="18"/>
              </w:rPr>
            </w:pPr>
            <w:r>
              <w:rPr>
                <w:rFonts w:ascii="Calibri" w:hAnsi="Calibri" w:cs="Calibri"/>
                <w:sz w:val="18"/>
                <w:szCs w:val="18"/>
              </w:rPr>
              <w:t>电池型号14500，含1组备用电池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4</w:t>
            </w:r>
          </w:p>
        </w:tc>
        <w:tc>
          <w:tcPr>
            <w:tcW w:w="2410" w:type="dxa"/>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14500电池充电器</w:t>
            </w:r>
          </w:p>
        </w:tc>
        <w:tc>
          <w:tcPr>
            <w:tcW w:w="677" w:type="dxa"/>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1/12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18"/>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5</w:t>
            </w:r>
          </w:p>
        </w:tc>
        <w:tc>
          <w:tcPr>
            <w:tcW w:w="2410" w:type="dxa"/>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产品包装箱</w:t>
            </w:r>
          </w:p>
        </w:tc>
        <w:tc>
          <w:tcPr>
            <w:tcW w:w="677" w:type="dxa"/>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18"/>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6</w:t>
            </w:r>
          </w:p>
        </w:tc>
        <w:tc>
          <w:tcPr>
            <w:tcW w:w="2410" w:type="dxa"/>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运输包装箱</w:t>
            </w:r>
          </w:p>
        </w:tc>
        <w:tc>
          <w:tcPr>
            <w:tcW w:w="677" w:type="dxa"/>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1/5</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18"/>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bottom w:val="single" w:color="000000" w:sz="12" w:space="0"/>
            </w:tcBorders>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7</w:t>
            </w:r>
          </w:p>
        </w:tc>
        <w:tc>
          <w:tcPr>
            <w:tcW w:w="2410" w:type="dxa"/>
            <w:tcBorders>
              <w:bottom w:val="single" w:color="000000" w:sz="12" w:space="0"/>
            </w:tcBorders>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产品资料</w:t>
            </w:r>
          </w:p>
        </w:tc>
        <w:tc>
          <w:tcPr>
            <w:tcW w:w="677" w:type="dxa"/>
            <w:tcBorders>
              <w:bottom w:val="single" w:color="000000" w:sz="12" w:space="0"/>
            </w:tcBorders>
            <w:shd w:val="clear" w:color="auto" w:fill="auto"/>
            <w:vAlign w:val="center"/>
          </w:tcPr>
          <w:p>
            <w:pPr>
              <w:pStyle w:val="1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bottom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505" w:type="dxa"/>
            <w:tcBorders>
              <w:bottom w:val="single" w:color="000000" w:sz="12" w:space="0"/>
              <w:right w:val="single" w:color="000000" w:sz="12" w:space="0"/>
            </w:tcBorders>
            <w:shd w:val="clear" w:color="auto" w:fill="auto"/>
            <w:vAlign w:val="center"/>
          </w:tcPr>
          <w:p>
            <w:pPr>
              <w:pStyle w:val="18"/>
              <w:spacing w:line="310" w:lineRule="exact"/>
              <w:ind w:right="-105" w:firstLine="0" w:firstLineChars="0"/>
              <w:rPr>
                <w:rFonts w:ascii="Calibri" w:hAnsi="Calibri" w:cs="Calibri"/>
                <w:sz w:val="18"/>
                <w:szCs w:val="18"/>
              </w:rPr>
            </w:pPr>
            <w:r>
              <w:rPr>
                <w:rFonts w:ascii="Calibri" w:hAnsi="Calibri" w:cs="Calibri"/>
                <w:sz w:val="18"/>
                <w:szCs w:val="18"/>
              </w:rPr>
              <w:t>含使用说明书、合格证、装箱清单、履历表</w:t>
            </w:r>
          </w:p>
        </w:tc>
      </w:tr>
    </w:tbl>
    <w:p/>
    <w:p>
      <w:pPr>
        <w:pStyle w:val="17"/>
        <w:bidi w:val="0"/>
        <w:ind w:left="0" w:leftChars="0" w:firstLine="0" w:firstLineChars="0"/>
        <w:rPr>
          <w:rFonts w:hint="default"/>
          <w:lang w:val="en-US" w:eastAsia="zh-CN"/>
        </w:rPr>
      </w:pPr>
    </w:p>
    <w:p/>
    <w:sectPr>
      <w:pgSz w:w="11906" w:h="16838"/>
      <w:pgMar w:top="2098" w:right="1474"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20"/>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1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1">
    <w:nsid w:val="1A3341F8"/>
    <w:multiLevelType w:val="singleLevel"/>
    <w:tmpl w:val="1A3341F8"/>
    <w:lvl w:ilvl="0" w:tentative="0">
      <w:start w:val="1"/>
      <w:numFmt w:val="lowerLetter"/>
      <w:lvlText w:val="%1)"/>
      <w:lvlJc w:val="left"/>
      <w:pPr>
        <w:tabs>
          <w:tab w:val="left" w:pos="800"/>
        </w:tabs>
        <w:ind w:left="800" w:hanging="400"/>
      </w:pPr>
    </w:lvl>
  </w:abstractNum>
  <w:abstractNum w:abstractNumId="2">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3">
    <w:nsid w:val="200816FC"/>
    <w:multiLevelType w:val="singleLevel"/>
    <w:tmpl w:val="200816FC"/>
    <w:lvl w:ilvl="0" w:tentative="0">
      <w:start w:val="1"/>
      <w:numFmt w:val="lowerLetter"/>
      <w:lvlText w:val="%1)"/>
      <w:lvlJc w:val="left"/>
      <w:pPr>
        <w:tabs>
          <w:tab w:val="left" w:pos="800"/>
        </w:tabs>
        <w:ind w:left="800" w:hanging="400"/>
      </w:pPr>
    </w:lvl>
  </w:abstractNum>
  <w:abstractNum w:abstractNumId="4">
    <w:nsid w:val="2912FDE1"/>
    <w:multiLevelType w:val="multilevel"/>
    <w:tmpl w:val="2912FDE1"/>
    <w:lvl w:ilvl="0" w:tentative="0">
      <w:start w:val="1"/>
      <w:numFmt w:val="chineseCounting"/>
      <w:pStyle w:val="12"/>
      <w:suff w:val="nothing"/>
      <w:lvlText w:val="%1、"/>
      <w:lvlJc w:val="left"/>
      <w:pPr>
        <w:tabs>
          <w:tab w:val="left" w:pos="0"/>
        </w:tabs>
        <w:ind w:left="0" w:firstLine="400"/>
      </w:pPr>
      <w:rPr>
        <w:rFonts w:hint="eastAsia" w:ascii="黑体" w:hAnsi="黑体" w:eastAsia="黑体" w:cs="宋体"/>
      </w:rPr>
    </w:lvl>
    <w:lvl w:ilvl="1" w:tentative="0">
      <w:start w:val="1"/>
      <w:numFmt w:val="decimal"/>
      <w:pStyle w:val="13"/>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14"/>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15"/>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5">
    <w:nsid w:val="33021E15"/>
    <w:multiLevelType w:val="singleLevel"/>
    <w:tmpl w:val="33021E15"/>
    <w:lvl w:ilvl="0" w:tentative="0">
      <w:start w:val="1"/>
      <w:numFmt w:val="lowerLetter"/>
      <w:lvlText w:val="%1)"/>
      <w:lvlJc w:val="left"/>
      <w:pPr>
        <w:tabs>
          <w:tab w:val="left" w:pos="800"/>
        </w:tabs>
        <w:ind w:left="800" w:hanging="400"/>
      </w:pPr>
    </w:lvl>
  </w:abstractNum>
  <w:abstractNum w:abstractNumId="6">
    <w:nsid w:val="3FD22E60"/>
    <w:multiLevelType w:val="singleLevel"/>
    <w:tmpl w:val="3FD22E60"/>
    <w:lvl w:ilvl="0" w:tentative="0">
      <w:start w:val="1"/>
      <w:numFmt w:val="lowerLetter"/>
      <w:lvlText w:val="%1)"/>
      <w:lvlJc w:val="left"/>
      <w:pPr>
        <w:tabs>
          <w:tab w:val="left" w:pos="800"/>
        </w:tabs>
        <w:ind w:left="800" w:hanging="400"/>
      </w:pPr>
    </w:lvl>
  </w:abstractNum>
  <w:abstractNum w:abstractNumId="7">
    <w:nsid w:val="4D6D17FE"/>
    <w:multiLevelType w:val="singleLevel"/>
    <w:tmpl w:val="4D6D17FE"/>
    <w:lvl w:ilvl="0" w:tentative="0">
      <w:start w:val="1"/>
      <w:numFmt w:val="lowerLetter"/>
      <w:lvlText w:val="%1)"/>
      <w:lvlJc w:val="left"/>
      <w:pPr>
        <w:tabs>
          <w:tab w:val="left" w:pos="800"/>
        </w:tabs>
        <w:ind w:left="800" w:hanging="400"/>
      </w:pPr>
    </w:lvl>
  </w:abstractNum>
  <w:abstractNum w:abstractNumId="8">
    <w:nsid w:val="5F383CDE"/>
    <w:multiLevelType w:val="singleLevel"/>
    <w:tmpl w:val="5F383CDE"/>
    <w:lvl w:ilvl="0" w:tentative="0">
      <w:start w:val="1"/>
      <w:numFmt w:val="lowerLetter"/>
      <w:lvlText w:val="%1)"/>
      <w:lvlJc w:val="left"/>
      <w:pPr>
        <w:tabs>
          <w:tab w:val="left" w:pos="800"/>
        </w:tabs>
        <w:ind w:left="800" w:hanging="400"/>
      </w:pPr>
    </w:lvl>
  </w:abstractNum>
  <w:num w:numId="1">
    <w:abstractNumId w:val="4"/>
  </w:num>
  <w:num w:numId="2">
    <w:abstractNumId w:val="0"/>
  </w:num>
  <w:num w:numId="3">
    <w:abstractNumId w:val="1"/>
  </w:num>
  <w:num w:numId="4">
    <w:abstractNumId w:val="5"/>
  </w:num>
  <w:num w:numId="5">
    <w:abstractNumId w:val="8"/>
  </w:num>
  <w:num w:numId="6">
    <w:abstractNumId w:val="2"/>
  </w:num>
  <w:num w:numId="7">
    <w:abstractNumId w:val="7"/>
    <w:lvlOverride w:ilvl="0">
      <w:startOverride w:val="1"/>
    </w:lvlOverride>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343CA"/>
    <w:rsid w:val="2B7343CA"/>
    <w:rsid w:val="416F376B"/>
    <w:rsid w:val="58A22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jp一级标题"/>
    <w:next w:val="1"/>
    <w:qFormat/>
    <w:uiPriority w:val="0"/>
    <w:pPr>
      <w:numPr>
        <w:ilvl w:val="0"/>
        <w:numId w:val="1"/>
      </w:numPr>
      <w:spacing w:after="100" w:afterLines="100" w:line="240" w:lineRule="auto"/>
      <w:ind w:left="0" w:firstLine="400"/>
      <w:jc w:val="center"/>
      <w:outlineLvl w:val="0"/>
    </w:pPr>
    <w:rPr>
      <w:rFonts w:ascii="黑体" w:hAnsi="黑体" w:eastAsia="黑体" w:cstheme="minorBidi"/>
      <w:b/>
      <w:sz w:val="44"/>
    </w:rPr>
  </w:style>
  <w:style w:type="paragraph" w:customStyle="1" w:styleId="13">
    <w:name w:val="jp二级标题"/>
    <w:basedOn w:val="1"/>
    <w:next w:val="1"/>
    <w:qFormat/>
    <w:uiPriority w:val="0"/>
    <w:pPr>
      <w:numPr>
        <w:ilvl w:val="1"/>
        <w:numId w:val="1"/>
      </w:numPr>
      <w:ind w:firstLine="0"/>
      <w:jc w:val="left"/>
      <w:outlineLvl w:val="1"/>
    </w:pPr>
    <w:rPr>
      <w:rFonts w:ascii="黑体" w:hAnsi="黑体" w:eastAsia="黑体"/>
      <w:b/>
      <w:sz w:val="36"/>
    </w:rPr>
  </w:style>
  <w:style w:type="paragraph" w:customStyle="1" w:styleId="14">
    <w:name w:val="jp三级标题"/>
    <w:qFormat/>
    <w:uiPriority w:val="0"/>
    <w:pPr>
      <w:numPr>
        <w:ilvl w:val="2"/>
        <w:numId w:val="1"/>
      </w:numPr>
      <w:ind w:firstLine="0"/>
      <w:jc w:val="left"/>
      <w:outlineLvl w:val="2"/>
    </w:pPr>
    <w:rPr>
      <w:rFonts w:ascii="黑体" w:hAnsi="黑体" w:eastAsia="黑体" w:cstheme="minorBidi"/>
      <w:b/>
      <w:sz w:val="32"/>
    </w:rPr>
  </w:style>
  <w:style w:type="paragraph" w:customStyle="1" w:styleId="15">
    <w:name w:val="jp四级标题"/>
    <w:basedOn w:val="1"/>
    <w:qFormat/>
    <w:uiPriority w:val="0"/>
    <w:pPr>
      <w:numPr>
        <w:ilvl w:val="3"/>
        <w:numId w:val="1"/>
      </w:numPr>
      <w:ind w:firstLine="0"/>
      <w:jc w:val="left"/>
      <w:outlineLvl w:val="3"/>
    </w:pPr>
    <w:rPr>
      <w:rFonts w:eastAsia="黑体" w:asciiTheme="minorAscii" w:hAnsiTheme="minorAscii"/>
      <w:b/>
    </w:rPr>
  </w:style>
  <w:style w:type="paragraph" w:customStyle="1" w:styleId="16">
    <w:name w:val="jp正文无缩进"/>
    <w:basedOn w:val="1"/>
    <w:qFormat/>
    <w:uiPriority w:val="0"/>
    <w:pPr>
      <w:ind w:firstLine="0" w:firstLineChars="0"/>
    </w:pPr>
    <w:rPr>
      <w:rFonts w:ascii="仿宋_GB2312" w:hAnsi="仿宋_GB2312"/>
    </w:rPr>
  </w:style>
  <w:style w:type="paragraph" w:customStyle="1" w:styleId="17">
    <w:name w:val="jp正文缩进"/>
    <w:qFormat/>
    <w:uiPriority w:val="0"/>
    <w:pPr>
      <w:ind w:firstLine="876" w:firstLineChars="200"/>
    </w:pPr>
    <w:rPr>
      <w:rFonts w:ascii="仿宋_GB2312" w:hAnsi="仿宋_GB2312" w:eastAsia="仿宋_GB2312" w:cstheme="minorBidi"/>
      <w:sz w:val="28"/>
    </w:rPr>
  </w:style>
  <w:style w:type="paragraph" w:customStyle="1" w:styleId="18">
    <w:name w:val="标准文件_段落"/>
    <w:basedOn w:val="1"/>
    <w:qFormat/>
    <w:locked/>
    <w:uiPriority w:val="0"/>
    <w:pPr>
      <w:spacing w:line="316" w:lineRule="exact"/>
      <w:ind w:firstLine="428" w:firstLineChars="200"/>
      <w:jc w:val="left"/>
    </w:pPr>
    <w:rPr>
      <w:rFonts w:ascii="宋体"/>
      <w:spacing w:val="2"/>
      <w:kern w:val="0"/>
      <w:szCs w:val="21"/>
    </w:rPr>
  </w:style>
  <w:style w:type="paragraph" w:customStyle="1" w:styleId="19">
    <w:name w:val="标准文件_一级条标题"/>
    <w:basedOn w:val="20"/>
    <w:next w:val="18"/>
    <w:qFormat/>
    <w:uiPriority w:val="0"/>
    <w:pPr>
      <w:numPr>
        <w:ilvl w:val="2"/>
      </w:numPr>
      <w:tabs>
        <w:tab w:val="left" w:pos="426"/>
      </w:tabs>
      <w:spacing w:beforeLines="0" w:afterLines="0"/>
      <w:outlineLvl w:val="2"/>
    </w:pPr>
    <w:rPr>
      <w:spacing w:val="2"/>
    </w:rPr>
  </w:style>
  <w:style w:type="paragraph" w:customStyle="1" w:styleId="20">
    <w:name w:val="标准文件_章标题"/>
    <w:next w:val="1"/>
    <w:qFormat/>
    <w:locked/>
    <w:uiPriority w:val="0"/>
    <w:pPr>
      <w:numPr>
        <w:ilvl w:val="1"/>
        <w:numId w:val="2"/>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2020-07-21T11:23:00Z</dcterms:created>
  <dc:creator>欺骗`丶弥漫空气°</dc:creator>
  <cp:lastModifiedBy>Administrator</cp:lastModifiedBy>
  <dcterms:modified xsi:type="dcterms:W3CDTF">2020-07-25T01:04:41Z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