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手榴弹模拟终端 技术规格书</w:t>
      </w:r>
    </w:p>
    <w:tbl>
      <w:tblPr>
        <w:tblStyle w:val="23"/>
        <w:tblW w:w="4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67890" cy="3175635"/>
                  <wp:effectExtent l="0" t="0" r="3810" b="5715"/>
                  <wp:docPr id="1" name="图片 1" descr="95adf56ea25f0cb93bcb37f975e11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5adf56ea25f0cb93bcb37f975e11b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90" cy="317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5"/>
        <w:bidi w:val="0"/>
      </w:pPr>
      <w:r>
        <w:rPr>
          <w:rFonts w:hint="eastAsia"/>
          <w:lang w:val="en-US" w:eastAsia="zh-CN"/>
        </w:rPr>
        <w:t>手榴弹模拟终端</w:t>
      </w:r>
      <w:r>
        <w:t>用途</w:t>
      </w:r>
    </w:p>
    <w:p>
      <w:pPr>
        <w:pStyle w:val="47"/>
        <w:bidi w:val="0"/>
      </w:pPr>
      <w:r>
        <w:t>组织开展实兵训练演习时，用于模拟手榴弹对战场人员杀伤效能和效果。</w:t>
      </w:r>
    </w:p>
    <w:p>
      <w:pPr>
        <w:pStyle w:val="35"/>
        <w:bidi w:val="0"/>
      </w:pPr>
      <w:r>
        <w:rPr>
          <w:rFonts w:hint="eastAsia"/>
          <w:lang w:val="en-US" w:eastAsia="zh-CN"/>
        </w:rPr>
        <w:t>手榴弹模拟终端</w:t>
      </w:r>
      <w:r>
        <w:t>组成</w:t>
      </w:r>
    </w:p>
    <w:p>
      <w:pPr>
        <w:pStyle w:val="47"/>
        <w:bidi w:val="0"/>
      </w:pPr>
      <w:bookmarkStart w:id="0" w:name="_Toc22379507"/>
      <w:bookmarkStart w:id="1" w:name="_Toc19102411"/>
      <w:r>
        <w:t>产品</w:t>
      </w:r>
      <w:r>
        <w:rPr>
          <w:rFonts w:hint="eastAsia"/>
        </w:rPr>
        <w:t>形式为单一手榴弹模拟终端</w:t>
      </w:r>
      <w:r>
        <w:t>。</w:t>
      </w:r>
    </w:p>
    <w:p>
      <w:pPr>
        <w:pStyle w:val="35"/>
        <w:bidi w:val="0"/>
      </w:pPr>
      <w:r>
        <w:rPr>
          <w:rFonts w:hint="eastAsia"/>
          <w:lang w:val="en-US" w:eastAsia="zh-CN"/>
        </w:rPr>
        <w:t>手榴弹模拟终端功能</w:t>
      </w:r>
    </w:p>
    <w:p>
      <w:pPr>
        <w:pStyle w:val="37"/>
        <w:bidi w:val="0"/>
      </w:pPr>
      <w:bookmarkStart w:id="2" w:name="_Toc19102723"/>
      <w:bookmarkStart w:id="3" w:name="_Toc22378789"/>
      <w:r>
        <w:t>火力效能模拟</w:t>
      </w:r>
      <w:bookmarkEnd w:id="2"/>
      <w:bookmarkEnd w:id="3"/>
    </w:p>
    <w:p>
      <w:pPr>
        <w:pStyle w:val="40"/>
        <w:numPr>
          <w:ilvl w:val="0"/>
          <w:numId w:val="9"/>
        </w:numPr>
        <w:bidi w:val="0"/>
      </w:pPr>
      <w:r>
        <w:t>能够与单兵装具进行交互，模拟武器对战场人员杀伤效能和效果；</w:t>
      </w:r>
    </w:p>
    <w:p>
      <w:pPr>
        <w:pStyle w:val="40"/>
        <w:numPr>
          <w:ilvl w:val="0"/>
          <w:numId w:val="9"/>
        </w:numPr>
        <w:bidi w:val="0"/>
      </w:pPr>
      <w:r>
        <w:t>能模拟武器毁伤半径和安全半径；</w:t>
      </w:r>
    </w:p>
    <w:p>
      <w:pPr>
        <w:pStyle w:val="40"/>
        <w:numPr>
          <w:ilvl w:val="0"/>
          <w:numId w:val="9"/>
        </w:numPr>
        <w:bidi w:val="0"/>
      </w:pPr>
      <w:r>
        <w:t>产品毁伤半径</w:t>
      </w:r>
      <w:r>
        <w:rPr>
          <w:rFonts w:hint="eastAsia"/>
          <w:lang w:eastAsia="zh-CN"/>
        </w:rPr>
        <w:t>：</w:t>
      </w:r>
      <w:r>
        <w:t>6米，安全半径</w:t>
      </w:r>
      <w:r>
        <w:rPr>
          <w:rFonts w:hint="eastAsia"/>
          <w:lang w:eastAsia="zh-CN"/>
        </w:rPr>
        <w:t>：</w:t>
      </w:r>
      <w:r>
        <w:t>25米；</w:t>
      </w:r>
    </w:p>
    <w:p>
      <w:pPr>
        <w:pStyle w:val="40"/>
        <w:numPr>
          <w:ilvl w:val="0"/>
          <w:numId w:val="9"/>
        </w:numPr>
        <w:bidi w:val="0"/>
      </w:pPr>
      <w:r>
        <w:t>能模拟武器引信延时，引信延时时间4~5秒之间。</w:t>
      </w:r>
    </w:p>
    <w:p>
      <w:pPr>
        <w:pStyle w:val="37"/>
        <w:bidi w:val="0"/>
      </w:pPr>
      <w:bookmarkStart w:id="4" w:name="_Toc19102724"/>
      <w:bookmarkStart w:id="5" w:name="_Toc22378790"/>
      <w:r>
        <w:t>发射控制</w:t>
      </w:r>
      <w:bookmarkEnd w:id="4"/>
      <w:bookmarkEnd w:id="5"/>
    </w:p>
    <w:p>
      <w:pPr>
        <w:pStyle w:val="40"/>
        <w:numPr>
          <w:ilvl w:val="0"/>
          <w:numId w:val="10"/>
        </w:numPr>
        <w:bidi w:val="0"/>
      </w:pPr>
      <w:r>
        <w:t>能够模拟武器保险销和触发压片对手榴弹爆炸控制；</w:t>
      </w:r>
    </w:p>
    <w:p>
      <w:pPr>
        <w:pStyle w:val="40"/>
        <w:numPr>
          <w:ilvl w:val="0"/>
          <w:numId w:val="10"/>
        </w:numPr>
        <w:bidi w:val="0"/>
      </w:pPr>
      <w:r>
        <w:t>能模拟手榴弹单次爆炸特性，需要装弹采集器复位后方可再次使用。</w:t>
      </w:r>
    </w:p>
    <w:p>
      <w:pPr>
        <w:pStyle w:val="40"/>
        <w:numPr>
          <w:ilvl w:val="0"/>
          <w:numId w:val="10"/>
        </w:numPr>
        <w:bidi w:val="0"/>
      </w:pPr>
      <w:r>
        <w:rPr>
          <w:rFonts w:hint="eastAsia"/>
        </w:rPr>
        <w:t>产品触发方式与实装基本一致</w:t>
      </w:r>
    </w:p>
    <w:p>
      <w:pPr>
        <w:pStyle w:val="37"/>
        <w:bidi w:val="0"/>
        <w:rPr>
          <w:rFonts w:hint="eastAsia"/>
        </w:rPr>
      </w:pPr>
      <w:bookmarkStart w:id="6" w:name="_Toc22378791"/>
      <w:bookmarkStart w:id="7" w:name="_Toc19102725"/>
      <w:r>
        <w:rPr>
          <w:rFonts w:hint="eastAsia"/>
        </w:rPr>
        <w:t>告警提示</w:t>
      </w:r>
    </w:p>
    <w:p>
      <w:pPr>
        <w:pStyle w:val="47"/>
        <w:bidi w:val="0"/>
      </w:pPr>
      <w:r>
        <w:rPr>
          <w:rFonts w:hint="eastAsia"/>
        </w:rPr>
        <w:t>产品能通过指示灯对供电状态等情况进行告警提示。</w:t>
      </w:r>
    </w:p>
    <w:p>
      <w:pPr>
        <w:pStyle w:val="37"/>
        <w:bidi w:val="0"/>
      </w:pPr>
      <w:r>
        <w:t>发射指示</w:t>
      </w:r>
      <w:bookmarkEnd w:id="6"/>
      <w:bookmarkEnd w:id="7"/>
    </w:p>
    <w:p>
      <w:pPr>
        <w:pStyle w:val="47"/>
        <w:bidi w:val="0"/>
      </w:pPr>
      <w:r>
        <w:t>能通过指示灯指示手榴弹模拟终端模拟爆炸状态。</w:t>
      </w:r>
    </w:p>
    <w:p>
      <w:pPr>
        <w:pStyle w:val="37"/>
        <w:bidi w:val="0"/>
      </w:pPr>
      <w:bookmarkStart w:id="8" w:name="_Toc22378792"/>
      <w:bookmarkStart w:id="9" w:name="_Toc19102726"/>
      <w:r>
        <w:t>状态显示</w:t>
      </w:r>
      <w:bookmarkEnd w:id="8"/>
      <w:bookmarkEnd w:id="9"/>
    </w:p>
    <w:p>
      <w:pPr>
        <w:pStyle w:val="47"/>
        <w:bidi w:val="0"/>
      </w:pPr>
      <w:r>
        <w:t>能通过指示灯显示手榴弹爆炸状态、电池电量信息。</w:t>
      </w:r>
    </w:p>
    <w:p>
      <w:pPr>
        <w:pStyle w:val="37"/>
        <w:bidi w:val="0"/>
      </w:pPr>
      <w:bookmarkStart w:id="10" w:name="_Toc22378793"/>
      <w:bookmarkStart w:id="11" w:name="_Toc19102727"/>
      <w:r>
        <w:t>现地调理响应</w:t>
      </w:r>
      <w:bookmarkEnd w:id="10"/>
      <w:bookmarkEnd w:id="11"/>
    </w:p>
    <w:p>
      <w:pPr>
        <w:pStyle w:val="47"/>
        <w:bidi w:val="0"/>
      </w:pPr>
      <w:r>
        <w:t>能够接受终端检测器复位指令，实现从已爆向未爆工作状态切换。</w:t>
      </w:r>
    </w:p>
    <w:p>
      <w:pPr>
        <w:pStyle w:val="37"/>
        <w:bidi w:val="0"/>
      </w:pPr>
      <w:bookmarkStart w:id="12" w:name="_Toc19102728"/>
      <w:bookmarkStart w:id="13" w:name="_Toc22378794"/>
      <w:r>
        <w:t>重量</w:t>
      </w:r>
      <w:bookmarkEnd w:id="12"/>
      <w:bookmarkEnd w:id="13"/>
    </w:p>
    <w:p>
      <w:pPr>
        <w:pStyle w:val="47"/>
        <w:bidi w:val="0"/>
      </w:pPr>
      <w:r>
        <w:t>260g±10g。</w:t>
      </w:r>
    </w:p>
    <w:p>
      <w:pPr>
        <w:pStyle w:val="37"/>
        <w:bidi w:val="0"/>
      </w:pPr>
      <w:bookmarkStart w:id="14" w:name="_Toc19102729"/>
      <w:bookmarkStart w:id="15" w:name="_Toc22378795"/>
      <w:r>
        <w:t>尺寸</w:t>
      </w:r>
      <w:bookmarkEnd w:id="14"/>
      <w:bookmarkEnd w:id="15"/>
    </w:p>
    <w:p>
      <w:pPr>
        <w:pStyle w:val="47"/>
        <w:bidi w:val="0"/>
      </w:pPr>
      <w:r>
        <w:t>高度：90mm±5mm；</w:t>
      </w:r>
    </w:p>
    <w:p>
      <w:pPr>
        <w:pStyle w:val="47"/>
        <w:bidi w:val="0"/>
      </w:pPr>
      <w:r>
        <w:t>弹径：52mm±5mm。</w:t>
      </w:r>
    </w:p>
    <w:p>
      <w:pPr>
        <w:pStyle w:val="35"/>
        <w:bidi w:val="0"/>
      </w:pPr>
      <w:bookmarkStart w:id="16" w:name="_Toc19102730"/>
      <w:bookmarkStart w:id="17" w:name="_Toc22378796"/>
      <w:r>
        <w:t>外部信息交互接口</w:t>
      </w:r>
      <w:bookmarkEnd w:id="16"/>
      <w:bookmarkEnd w:id="17"/>
    </w:p>
    <w:p>
      <w:pPr>
        <w:pStyle w:val="40"/>
        <w:numPr>
          <w:ilvl w:val="0"/>
          <w:numId w:val="11"/>
        </w:numPr>
        <w:bidi w:val="0"/>
      </w:pPr>
      <w:r>
        <w:t>产品与单兵装具无线交互接口和协议满足LSJT-JKXY-04《陆军实兵交战系统短距无线通信接口规范》中相关指令要求；</w:t>
      </w:r>
    </w:p>
    <w:p>
      <w:pPr>
        <w:pStyle w:val="40"/>
        <w:numPr>
          <w:ilvl w:val="0"/>
          <w:numId w:val="11"/>
        </w:numPr>
        <w:bidi w:val="0"/>
      </w:pPr>
      <w:r>
        <w:t>产品与装弹采集器无线交互接口和协议满足LSJT-JKXY-04《陆军实兵交战系统短距无线通信接口规范》中相关指令要求。</w:t>
      </w:r>
    </w:p>
    <w:bookmarkEnd w:id="0"/>
    <w:bookmarkEnd w:id="1"/>
    <w:p>
      <w:pPr>
        <w:pStyle w:val="35"/>
        <w:bidi w:val="0"/>
      </w:pPr>
      <w:bookmarkStart w:id="18" w:name="_Toc22379511"/>
      <w:bookmarkStart w:id="19" w:name="_Toc19102415"/>
      <w:r>
        <w:rPr>
          <w:rFonts w:hint="eastAsia"/>
        </w:rPr>
        <w:t>六性</w:t>
      </w:r>
      <w:r>
        <w:rPr>
          <w:rFonts w:hint="eastAsia"/>
          <w:lang w:eastAsia="zh-CN"/>
        </w:rPr>
        <w:t>指标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可靠性</w:t>
      </w:r>
    </w:p>
    <w:p>
      <w:pPr>
        <w:bidi w:val="0"/>
        <w:ind w:firstLine="560" w:firstLineChars="200"/>
      </w:pPr>
      <w:r>
        <w:rPr>
          <w:rFonts w:hint="eastAsia"/>
        </w:rPr>
        <w:t>MTBF≥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00h。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维修性</w:t>
      </w:r>
    </w:p>
    <w:p>
      <w:pPr>
        <w:bidi w:val="0"/>
        <w:ind w:firstLine="560" w:firstLineChars="200"/>
      </w:pPr>
      <w:r>
        <w:rPr>
          <w:rFonts w:hint="eastAsia"/>
        </w:rPr>
        <w:t>MTTR≤30min。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保障性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各类模拟终端提供运输和存储包装箱，包装箱可通过人工方式装载。终端拆卸安装、调试校正、维护保养操作简单快捷，结合时紧密牢固。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提供设备维护与保养必须的工具</w:t>
      </w:r>
      <w:r>
        <w:rPr>
          <w:rFonts w:hint="eastAsia"/>
          <w:lang w:eastAsia="zh-CN"/>
        </w:rPr>
        <w:t>（维修专用工具比例</w:t>
      </w:r>
      <w:r>
        <w:rPr>
          <w:rFonts w:hint="eastAsia"/>
          <w:lang w:val="en-US" w:eastAsia="zh-CN"/>
        </w:rPr>
        <w:t>1%</w:t>
      </w:r>
      <w:r>
        <w:rPr>
          <w:rFonts w:hint="eastAsia"/>
          <w:lang w:eastAsia="zh-CN"/>
        </w:rPr>
        <w:t>）。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</w:rPr>
      </w:pPr>
      <w:r>
        <w:rPr>
          <w:rFonts w:hint="eastAsia"/>
        </w:rPr>
        <w:t>使用说明书中明确产品必要的维护措施和方法、充电维护周期等事项，同期提供系统软件和硬件设备使用教材，包括</w:t>
      </w:r>
      <w:r>
        <w:rPr>
          <w:rFonts w:hint="eastAsia"/>
          <w:lang w:eastAsia="zh-CN"/>
        </w:rPr>
        <w:t>用户手册</w:t>
      </w:r>
      <w:r>
        <w:rPr>
          <w:rFonts w:hint="eastAsia"/>
        </w:rPr>
        <w:t>、</w:t>
      </w:r>
      <w:r>
        <w:rPr>
          <w:rFonts w:hint="eastAsia"/>
          <w:lang w:eastAsia="zh-CN"/>
        </w:rPr>
        <w:t>维护手册（包含</w:t>
      </w:r>
      <w:r>
        <w:rPr>
          <w:rFonts w:hint="eastAsia"/>
        </w:rPr>
        <w:t>现地级和基地级二级维修方案内容</w:t>
      </w:r>
      <w:r>
        <w:rPr>
          <w:rFonts w:hint="eastAsia"/>
          <w:lang w:eastAsia="zh-CN"/>
        </w:rPr>
        <w:t>，规模保障维护人员</w:t>
      </w:r>
      <w:r>
        <w:rPr>
          <w:rFonts w:hint="eastAsia"/>
          <w:lang w:val="en-US" w:eastAsia="zh-CN"/>
        </w:rPr>
        <w:t>15-20人</w:t>
      </w:r>
      <w:r>
        <w:rPr>
          <w:rFonts w:hint="eastAsia"/>
          <w:lang w:eastAsia="zh-CN"/>
        </w:rPr>
        <w:t>），及产品合格证、装箱清单、履历表</w:t>
      </w:r>
      <w:r>
        <w:rPr>
          <w:rFonts w:hint="eastAsia"/>
        </w:rPr>
        <w:t>。</w:t>
      </w:r>
    </w:p>
    <w:p>
      <w:pPr>
        <w:numPr>
          <w:ilvl w:val="0"/>
          <w:numId w:val="12"/>
        </w:numPr>
        <w:adjustRightInd w:val="0"/>
        <w:spacing w:line="579" w:lineRule="exact"/>
        <w:ind w:left="420" w:leftChars="0" w:hanging="42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配套专用的集中充放电设备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12"/>
        </w:numPr>
        <w:ind w:left="420" w:leftChars="0" w:hanging="420" w:firstLineChars="0"/>
      </w:pPr>
      <w:r>
        <w:rPr>
          <w:rFonts w:hint="eastAsia" w:ascii="宋体" w:hAnsi="宋体"/>
          <w:sz w:val="28"/>
          <w:szCs w:val="28"/>
        </w:rPr>
        <w:t>配套仓储信息化管理系统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pStyle w:val="37"/>
        <w:bidi w:val="0"/>
      </w:pPr>
      <w:r>
        <w:rPr>
          <w:rFonts w:hint="eastAsia"/>
        </w:rPr>
        <w:t>测试性</w:t>
      </w:r>
    </w:p>
    <w:p>
      <w:pPr>
        <w:numPr>
          <w:ilvl w:val="0"/>
          <w:numId w:val="12"/>
        </w:numPr>
        <w:bidi w:val="0"/>
      </w:pPr>
      <w:r>
        <w:t>具有开机自检功能，检测内容包括火工品安装检测、定位状态检测等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产品能根据故障检测设备的测试指令自动完成故障定位输出，虚警率2%；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产品故障隔离率95%。</w:t>
      </w:r>
    </w:p>
    <w:p>
      <w:pPr>
        <w:pStyle w:val="37"/>
        <w:bidi w:val="0"/>
      </w:pPr>
      <w:r>
        <w:rPr>
          <w:rFonts w:hint="eastAsia"/>
        </w:rPr>
        <w:t>安全性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产品具有激光安全专用标识，标识内容与格式应符合《GB  7247.1-2012/激光产品的安全/第1 部分设备分类、要求》中第 5 部分“标记”相关要求,产品激光发射口有明显安全标识；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产品符合相应人眼危害距离要求；</w:t>
      </w:r>
    </w:p>
    <w:p>
      <w:pPr>
        <w:numPr>
          <w:ilvl w:val="0"/>
          <w:numId w:val="12"/>
        </w:numPr>
        <w:bidi w:val="0"/>
        <w:ind w:left="420" w:leftChars="0" w:hanging="420" w:firstLineChars="0"/>
      </w:pPr>
      <w:r>
        <w:rPr>
          <w:rFonts w:hint="eastAsia"/>
        </w:rPr>
        <w:t>产品火工品安装处有安全警示标志和操作规程；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声光弹发射后不产生粉碎性变化；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烟雾罐发烟时出烟柔和，不产生爆炸、不散射；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烟雾罐发烟时无明火、不燃烧，底部不出烟；</w:t>
      </w:r>
    </w:p>
    <w:p>
      <w:pPr>
        <w:numPr>
          <w:ilvl w:val="0"/>
          <w:numId w:val="12"/>
        </w:numPr>
        <w:bidi w:val="0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发射弹和烟雾罐引燃后电阻丝熔断，不存在低阻连接现象；</w:t>
      </w:r>
    </w:p>
    <w:p>
      <w:pPr>
        <w:pStyle w:val="2"/>
        <w:numPr>
          <w:ilvl w:val="0"/>
          <w:numId w:val="1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</w:rPr>
        <w:t>模拟交战终端上安装的激光发射装置按使用要求严格控制发射功率，标注安全警示标识，防止对人眼造成伤害。电气布线应考虑强、弱电分离，设备运输与储存包装箱应标识最大堆码层数。相关强电使用设备的绝缘电阻和介电常数满足</w:t>
      </w:r>
      <w:r>
        <w:t>GJB367A-2001</w:t>
      </w:r>
      <w:r>
        <w:rPr>
          <w:rFonts w:hint="eastAsia"/>
        </w:rPr>
        <w:t>《军用通信设备通用规范》</w:t>
      </w:r>
      <w:r>
        <w:t>3.13</w:t>
      </w:r>
      <w:r>
        <w:rPr>
          <w:rFonts w:hint="eastAsia"/>
        </w:rPr>
        <w:t>规定的要求。</w:t>
      </w:r>
    </w:p>
    <w:p>
      <w:pPr>
        <w:pStyle w:val="37"/>
        <w:bidi w:val="0"/>
        <w:rPr>
          <w:rFonts w:hint="eastAsia"/>
        </w:rPr>
      </w:pPr>
      <w:r>
        <w:rPr>
          <w:rFonts w:hint="eastAsia"/>
        </w:rPr>
        <w:t>环境适应性</w:t>
      </w:r>
    </w:p>
    <w:p>
      <w:pPr>
        <w:pStyle w:val="38"/>
        <w:bidi w:val="0"/>
      </w:pPr>
      <w:r>
        <w:rPr>
          <w:rFonts w:hint="eastAsia"/>
        </w:rPr>
        <w:t>低温工作</w:t>
      </w:r>
    </w:p>
    <w:p>
      <w:pPr>
        <w:pStyle w:val="47"/>
        <w:bidi w:val="0"/>
      </w:pPr>
      <w:r>
        <w:rPr>
          <w:rFonts w:hint="eastAsia"/>
        </w:rPr>
        <w:t>产品满足：产品在-20℃环境温度下连续工作4小时，工作期间产品功能正常。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低温贮存</w:t>
      </w:r>
    </w:p>
    <w:p>
      <w:pPr>
        <w:pStyle w:val="47"/>
        <w:bidi w:val="0"/>
      </w:pPr>
      <w:r>
        <w:rPr>
          <w:rFonts w:hint="eastAsia"/>
        </w:rPr>
        <w:t>产品在-30℃环境温度下连续贮存12小时后再将产品置于正常环境条件下，达到温度稳定后，产品的功能正常。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高温工作</w:t>
      </w:r>
    </w:p>
    <w:p>
      <w:pPr>
        <w:pStyle w:val="47"/>
        <w:bidi w:val="0"/>
      </w:pPr>
      <w:r>
        <w:rPr>
          <w:rFonts w:hint="eastAsia"/>
        </w:rPr>
        <w:t>产品在60℃环境温度下连续工作4小时，工作期间产品功能正常。</w:t>
      </w:r>
    </w:p>
    <w:p>
      <w:pPr>
        <w:pStyle w:val="38"/>
        <w:bidi w:val="0"/>
      </w:pPr>
      <w:r>
        <w:rPr>
          <w:rFonts w:hint="eastAsia"/>
        </w:rPr>
        <w:t>高温贮存</w:t>
      </w:r>
    </w:p>
    <w:p>
      <w:pPr>
        <w:pStyle w:val="47"/>
        <w:bidi w:val="0"/>
      </w:pPr>
      <w:r>
        <w:rPr>
          <w:rFonts w:hint="eastAsia"/>
        </w:rPr>
        <w:t>产品在70℃环境温度下连续贮存12小时后再将产品置于正常环境条件下，达到温度稳定后，产品的功能正常。</w:t>
      </w:r>
    </w:p>
    <w:p>
      <w:pPr>
        <w:pStyle w:val="38"/>
        <w:bidi w:val="0"/>
      </w:pPr>
      <w:r>
        <w:rPr>
          <w:rFonts w:hint="eastAsia"/>
        </w:rPr>
        <w:t>运输振动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在模拟三级公路试验台上振动0.5h后能正常工作。</w:t>
      </w:r>
    </w:p>
    <w:p>
      <w:pPr>
        <w:pStyle w:val="38"/>
        <w:bidi w:val="0"/>
      </w:pPr>
      <w:r>
        <w:rPr>
          <w:rFonts w:hint="eastAsia"/>
        </w:rPr>
        <w:t>冲击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在加速度15g、半正弦波脉冲宽度11ms的冲击条件下，沿X（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安装方向）、Y（</w:t>
      </w:r>
      <w:r>
        <w:rPr>
          <w:rFonts w:hint="eastAsia"/>
          <w:lang w:eastAsia="zh-CN"/>
        </w:rPr>
        <w:t>设备终端</w:t>
      </w:r>
      <w:r>
        <w:rPr>
          <w:rFonts w:hint="eastAsia"/>
        </w:rPr>
        <w:t>安装侧向）方向各冲击3次，试验后能正常工作。</w:t>
      </w:r>
    </w:p>
    <w:p>
      <w:pPr>
        <w:pStyle w:val="38"/>
        <w:bidi w:val="0"/>
        <w:rPr>
          <w:rFonts w:hint="eastAsia"/>
        </w:rPr>
      </w:pPr>
      <w:r>
        <w:rPr>
          <w:rFonts w:hint="eastAsia"/>
        </w:rPr>
        <w:t>跌落</w:t>
      </w:r>
    </w:p>
    <w:p>
      <w:pPr>
        <w:pStyle w:val="47"/>
        <w:bidi w:val="0"/>
      </w:pPr>
      <w:r>
        <w:rPr>
          <w:rFonts w:hint="eastAsia"/>
        </w:rPr>
        <w:t>产品从5米高度跌落至水泥地面或从10米高度跌落至泥沙地面，累计10次不丧失功能。</w:t>
      </w:r>
    </w:p>
    <w:p>
      <w:pPr>
        <w:pStyle w:val="38"/>
        <w:bidi w:val="0"/>
      </w:pPr>
      <w:r>
        <w:rPr>
          <w:rFonts w:hint="eastAsia"/>
        </w:rPr>
        <w:t>防雨淋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在雨量100mm/h的条件下持续雨淋0.5h后能正常工作。</w:t>
      </w:r>
    </w:p>
    <w:p>
      <w:pPr>
        <w:pStyle w:val="38"/>
        <w:bidi w:val="0"/>
      </w:pPr>
      <w:r>
        <w:rPr>
          <w:rFonts w:hint="eastAsia"/>
        </w:rPr>
        <w:t>沙尘</w:t>
      </w:r>
    </w:p>
    <w:p>
      <w:pPr>
        <w:bidi w:val="0"/>
        <w:ind w:firstLine="560" w:firstLineChars="200"/>
      </w:pPr>
      <w:r>
        <w:rPr>
          <w:rFonts w:hint="eastAsia"/>
          <w:lang w:eastAsia="zh-CN"/>
        </w:rPr>
        <w:t>设备终端</w:t>
      </w:r>
      <w:r>
        <w:rPr>
          <w:rFonts w:hint="eastAsia"/>
        </w:rPr>
        <w:t>满足GB/T4208-2017《外壳防护等级（IP代码）》中IP6X防护等级要求。</w:t>
      </w:r>
      <w:bookmarkEnd w:id="18"/>
      <w:bookmarkEnd w:id="19"/>
      <w:bookmarkStart w:id="20" w:name="_Toc8916849"/>
      <w:bookmarkStart w:id="21" w:name="_Toc19102429"/>
      <w:bookmarkStart w:id="22" w:name="_Toc22379525"/>
    </w:p>
    <w:p>
      <w:pPr>
        <w:pStyle w:val="35"/>
        <w:bidi w:val="0"/>
      </w:pPr>
      <w:bookmarkStart w:id="23" w:name="_Toc22376455"/>
      <w:bookmarkStart w:id="24" w:name="_Toc20344090"/>
      <w:bookmarkStart w:id="25" w:name="_Toc20238393"/>
      <w:bookmarkStart w:id="33" w:name="_GoBack"/>
      <w:bookmarkEnd w:id="33"/>
      <w:r>
        <w:rPr>
          <w:rFonts w:hint="eastAsia"/>
        </w:rPr>
        <w:t>扩展性</w:t>
      </w:r>
      <w:bookmarkEnd w:id="23"/>
      <w:bookmarkEnd w:id="24"/>
      <w:bookmarkEnd w:id="25"/>
    </w:p>
    <w:p>
      <w:pPr>
        <w:pStyle w:val="40"/>
        <w:bidi w:val="0"/>
        <w:ind w:firstLine="560" w:firstLineChars="200"/>
      </w:pPr>
      <w:r>
        <w:rPr>
          <w:rFonts w:hint="eastAsia"/>
        </w:rPr>
        <w:t>模拟地雷产品能模拟我军及外军主战防步兵、防坦克地雷等地爆类武器的效能。</w:t>
      </w:r>
    </w:p>
    <w:p>
      <w:pPr>
        <w:pStyle w:val="35"/>
        <w:bidi w:val="0"/>
      </w:pPr>
      <w:r>
        <w:t>电磁兼容性要求</w:t>
      </w:r>
      <w:bookmarkEnd w:id="20"/>
      <w:bookmarkEnd w:id="21"/>
      <w:bookmarkEnd w:id="22"/>
    </w:p>
    <w:p>
      <w:pPr>
        <w:pStyle w:val="47"/>
        <w:bidi w:val="0"/>
      </w:pPr>
      <w:r>
        <w:rPr>
          <w:rFonts w:hint="eastAsia"/>
          <w:lang w:eastAsia="zh-CN"/>
        </w:rPr>
        <w:t>发射机</w:t>
      </w:r>
      <w:r>
        <w:t>满足GJB151B-2013《军用设备和分系统电磁发射和敏感度要求与测量》中对陆军地面设备的以下测试条款限值要求（含剪裁要求）：</w:t>
      </w:r>
    </w:p>
    <w:p>
      <w:pPr>
        <w:pStyle w:val="40"/>
        <w:numPr>
          <w:ilvl w:val="0"/>
          <w:numId w:val="13"/>
        </w:numPr>
        <w:bidi w:val="0"/>
      </w:pPr>
      <w:r>
        <w:t>RS103电场辐射敏感度（10kHz～40GHz）：10V/m；</w:t>
      </w:r>
    </w:p>
    <w:p>
      <w:pPr>
        <w:pStyle w:val="40"/>
        <w:numPr>
          <w:ilvl w:val="0"/>
          <w:numId w:val="13"/>
        </w:numPr>
        <w:bidi w:val="0"/>
      </w:pPr>
      <w:r>
        <w:t>CS114电缆束注入传导敏感度（4kHz～400MHz）：曲线二；</w:t>
      </w:r>
    </w:p>
    <w:p>
      <w:pPr>
        <w:pStyle w:val="40"/>
        <w:numPr>
          <w:ilvl w:val="0"/>
          <w:numId w:val="13"/>
        </w:numPr>
        <w:bidi w:val="0"/>
      </w:pPr>
      <w:r>
        <w:t>CS115电缆束注入脉冲激励传导敏感度：5A；</w:t>
      </w:r>
    </w:p>
    <w:p>
      <w:pPr>
        <w:pStyle w:val="40"/>
        <w:numPr>
          <w:ilvl w:val="0"/>
          <w:numId w:val="13"/>
        </w:numPr>
        <w:bidi w:val="0"/>
      </w:pPr>
      <w:r>
        <w:t>CS116电缆和电源线阻尼正弦瞬态传导敏感度（10kHz～100MHz）：标准限值；</w:t>
      </w:r>
    </w:p>
    <w:p>
      <w:pPr>
        <w:pStyle w:val="40"/>
        <w:numPr>
          <w:ilvl w:val="0"/>
          <w:numId w:val="13"/>
        </w:numPr>
        <w:bidi w:val="0"/>
      </w:pPr>
      <w:r>
        <w:t>RE102电场辐射发射（10kHz～18GHz）：标准限值+20dB。</w:t>
      </w:r>
    </w:p>
    <w:p>
      <w:pPr>
        <w:pStyle w:val="35"/>
        <w:bidi w:val="0"/>
      </w:pPr>
      <w:bookmarkStart w:id="26" w:name="_Toc8723475"/>
      <w:bookmarkStart w:id="27" w:name="_Toc20341456"/>
      <w:bookmarkStart w:id="28" w:name="_Toc22376172"/>
      <w:r>
        <w:t>供电</w:t>
      </w:r>
      <w:bookmarkEnd w:id="26"/>
      <w:bookmarkEnd w:id="27"/>
      <w:bookmarkEnd w:id="28"/>
    </w:p>
    <w:p>
      <w:pPr>
        <w:pStyle w:val="47"/>
        <w:bidi w:val="0"/>
      </w:pPr>
      <w:r>
        <w:rPr>
          <w:rFonts w:hint="eastAsia"/>
        </w:rPr>
        <w:t>电池容量满足存储两年后，连续使用10次要求。</w:t>
      </w:r>
    </w:p>
    <w:p>
      <w:pPr>
        <w:pStyle w:val="35"/>
        <w:bidi w:val="0"/>
      </w:pPr>
      <w:bookmarkStart w:id="29" w:name="_Toc20341457"/>
      <w:bookmarkStart w:id="30" w:name="_Toc22376173"/>
      <w:r>
        <w:t>安装使用</w:t>
      </w:r>
      <w:bookmarkEnd w:id="29"/>
      <w:bookmarkEnd w:id="30"/>
    </w:p>
    <w:p>
      <w:pPr>
        <w:pStyle w:val="40"/>
        <w:numPr>
          <w:ilvl w:val="0"/>
          <w:numId w:val="14"/>
        </w:numPr>
        <w:bidi w:val="0"/>
      </w:pPr>
      <w:bookmarkStart w:id="31" w:name="_Toc22379534"/>
      <w:bookmarkStart w:id="32" w:name="_Toc19102438"/>
      <w:r>
        <w:t>产品使用全装模拟，与实装手榴弹样式一致；</w:t>
      </w:r>
    </w:p>
    <w:p>
      <w:pPr>
        <w:pStyle w:val="40"/>
        <w:numPr>
          <w:ilvl w:val="0"/>
          <w:numId w:val="14"/>
        </w:numPr>
        <w:bidi w:val="0"/>
      </w:pPr>
      <w:r>
        <w:t>产品触发方式与实装手榴弹一致；</w:t>
      </w:r>
    </w:p>
    <w:p>
      <w:pPr>
        <w:pStyle w:val="40"/>
        <w:numPr>
          <w:ilvl w:val="0"/>
          <w:numId w:val="14"/>
        </w:numPr>
        <w:bidi w:val="0"/>
      </w:pPr>
      <w:r>
        <w:t>产品符合实装手榴弹单兵携带要求。</w:t>
      </w:r>
    </w:p>
    <w:p>
      <w:pPr>
        <w:pStyle w:val="35"/>
        <w:bidi w:val="0"/>
      </w:pPr>
      <w:r>
        <w:t>成套性</w:t>
      </w:r>
      <w:bookmarkEnd w:id="31"/>
      <w:bookmarkEnd w:id="32"/>
    </w:p>
    <w:tbl>
      <w:tblPr>
        <w:tblStyle w:val="2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018"/>
        <w:gridCol w:w="815"/>
        <w:gridCol w:w="950"/>
        <w:gridCol w:w="4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83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部件</w:t>
            </w:r>
          </w:p>
        </w:tc>
        <w:tc>
          <w:tcPr>
            <w:tcW w:w="834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6" w:type="dxa"/>
            <w:tcBorders>
              <w:top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45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083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手榴弹模拟终端</w:t>
            </w:r>
          </w:p>
        </w:tc>
        <w:tc>
          <w:tcPr>
            <w:tcW w:w="834" w:type="dxa"/>
            <w:tcBorders>
              <w:top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件</w:t>
            </w:r>
          </w:p>
        </w:tc>
        <w:tc>
          <w:tcPr>
            <w:tcW w:w="4505" w:type="dxa"/>
            <w:tcBorders>
              <w:top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left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产品包装箱</w:t>
            </w:r>
          </w:p>
        </w:tc>
        <w:tc>
          <w:tcPr>
            <w:tcW w:w="834" w:type="dxa"/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1/48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个</w:t>
            </w:r>
          </w:p>
        </w:tc>
        <w:tc>
          <w:tcPr>
            <w:tcW w:w="4505" w:type="dxa"/>
            <w:tcBorders>
              <w:right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即运输包装箱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3" w:type="dxa"/>
            <w:tcBorders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083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产品资料</w:t>
            </w:r>
          </w:p>
        </w:tc>
        <w:tc>
          <w:tcPr>
            <w:tcW w:w="834" w:type="dxa"/>
            <w:tcBorders>
              <w:bottom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套</w:t>
            </w:r>
          </w:p>
        </w:tc>
        <w:tc>
          <w:tcPr>
            <w:tcW w:w="450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pStyle w:val="58"/>
              <w:spacing w:line="310" w:lineRule="exact"/>
              <w:ind w:right="-105" w:firstLine="0" w:firstLineChars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含使用说明书、合格证、装箱清单、履历表</w:t>
            </w:r>
          </w:p>
        </w:tc>
      </w:tr>
    </w:tbl>
    <w:p>
      <w:pPr>
        <w:pStyle w:val="47"/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0">
      <wne:acd wne:acdName="acd6"/>
    </wne:keymap>
    <wne:keymap wne:kcmPrimary="0627">
      <wne:acd wne:acdName="acd7"/>
    </wne:keymap>
  </wne:keymaps>
  <wne:acds>
    <wne:acd wne:argValue="AgBqAHAAAE6nfgdomJg=" wne:acdName="acd0" wne:fciIndexBasedOn="0065"/>
    <wne:acd wne:argValue="AgBqAHAAjE6nfgdomJg=" wne:acdName="acd1" wne:fciIndexBasedOn="0065"/>
    <wne:acd wne:argValue="AgBqAHAACU6nfgdomJg=" wne:acdName="acd2" wne:fciIndexBasedOn="0065"/>
    <wne:acd wne:argValue="AgBqAHAA21anfgdomJg=" wne:acdName="acd3" wne:fciIndexBasedOn="0065"/>
    <wne:acd wne:argValue="AgBqAHAAlE6nfgdomJg=" wne:acdName="acd4" wne:fciIndexBasedOn="0065"/>
    <wne:acd wne:argValue="AgBqAHAAbVGnfgdomJg=" wne:acdName="acd5" wne:fciIndexBasedOn="0065"/>
    <wne:acd wne:argValue="AgBqAHAAY2uHZeBlKX/bjw==" wne:acdName="acd6" wne:fciIndexBasedOn="0065"/>
    <wne:acd wne:argValue="AgBqAHAAY2uHZSl/248=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048D3"/>
    <w:multiLevelType w:val="multilevel"/>
    <w:tmpl w:val="8A6048D3"/>
    <w:lvl w:ilvl="0" w:tentative="0">
      <w:start w:val="1"/>
      <w:numFmt w:val="decimal"/>
      <w:pStyle w:val="36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pStyle w:val="28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pStyle w:val="31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33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34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A65BEC9C"/>
    <w:multiLevelType w:val="multilevel"/>
    <w:tmpl w:val="A65BEC9C"/>
    <w:lvl w:ilvl="0" w:tentative="0">
      <w:start w:val="1"/>
      <w:numFmt w:val="decimal"/>
      <w:pStyle w:val="27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3">
    <w:nsid w:val="0B015629"/>
    <w:multiLevelType w:val="singleLevel"/>
    <w:tmpl w:val="0B015629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4">
    <w:nsid w:val="10BA7377"/>
    <w:multiLevelType w:val="singleLevel"/>
    <w:tmpl w:val="10BA7377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  <w:rPr>
        <w:sz w:val="21"/>
      </w:rPr>
    </w:lvl>
  </w:abstractNum>
  <w:abstractNum w:abstractNumId="5">
    <w:nsid w:val="1D179757"/>
    <w:multiLevelType w:val="singleLevel"/>
    <w:tmpl w:val="1D17975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20F16A82"/>
    <w:multiLevelType w:val="multilevel"/>
    <w:tmpl w:val="20F16A8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pStyle w:val="32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912FDE1"/>
    <w:multiLevelType w:val="multilevel"/>
    <w:tmpl w:val="2912FDE1"/>
    <w:lvl w:ilvl="0" w:tentative="0">
      <w:start w:val="1"/>
      <w:numFmt w:val="chineseCounting"/>
      <w:pStyle w:val="29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 w:cs="宋体"/>
      </w:rPr>
    </w:lvl>
    <w:lvl w:ilvl="1" w:tentative="0">
      <w:start w:val="1"/>
      <w:numFmt w:val="decimal"/>
      <w:pStyle w:val="35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6"/>
      </w:rPr>
    </w:lvl>
    <w:lvl w:ilvl="2" w:tentative="0">
      <w:start w:val="1"/>
      <w:numFmt w:val="decimal"/>
      <w:pStyle w:val="37"/>
      <w:isLgl/>
      <w:suff w:val="nothing"/>
      <w:lvlText w:val="%1.%2.%3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2"/>
      </w:rPr>
    </w:lvl>
    <w:lvl w:ilvl="3" w:tentative="0">
      <w:start w:val="1"/>
      <w:numFmt w:val="decimal"/>
      <w:pStyle w:val="38"/>
      <w:isLgl/>
      <w:suff w:val="nothing"/>
      <w:lvlText w:val="%1.%2.%3.%4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/>
        <w:sz w:val="28"/>
        <w:szCs w:val="28"/>
      </w:rPr>
    </w:lvl>
    <w:lvl w:ilvl="4" w:tentative="0">
      <w:start w:val="1"/>
      <w:numFmt w:val="decimal"/>
      <w:pStyle w:val="39"/>
      <w:isLgl/>
      <w:suff w:val="nothing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5" w:tentative="0">
      <w:start w:val="1"/>
      <w:numFmt w:val="decimalFullWidth"/>
      <w:pStyle w:val="41"/>
      <w:isLgl/>
      <w:suff w:val="nothing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6" w:tentative="0">
      <w:start w:val="1"/>
      <w:numFmt w:val="decimalFullWidth"/>
      <w:isLgl/>
      <w:suff w:val="nothing"/>
      <w:lvlText w:val="%1.%2.%3.%4.%5.%6.%7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decimalFullWidth"/>
      <w:isLgl/>
      <w:suff w:val="nothing"/>
      <w:lvlText w:val="%1.%2.%3.%4.%5.%6.%7.%8.%9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8">
    <w:nsid w:val="2BEF774F"/>
    <w:multiLevelType w:val="multilevel"/>
    <w:tmpl w:val="2BEF774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8"/>
      <w:suff w:val="space"/>
      <w:lvlText w:val="2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9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1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2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3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4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5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9">
    <w:nsid w:val="31AD0390"/>
    <w:multiLevelType w:val="singleLevel"/>
    <w:tmpl w:val="31AD0390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0">
    <w:nsid w:val="37C717AC"/>
    <w:multiLevelType w:val="multilevel"/>
    <w:tmpl w:val="37C717AC"/>
    <w:lvl w:ilvl="0" w:tentative="0">
      <w:start w:val="8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space"/>
      <w:lvlText w:val="7.%2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7.%2.%3"/>
      <w:lvlJc w:val="left"/>
      <w:pPr>
        <w:ind w:left="142" w:firstLine="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62"/>
      <w:suff w:val="space"/>
      <w:lvlText w:val="7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space"/>
      <w:lvlText w:val="7.%2.%3.%4.%5"/>
      <w:lvlJc w:val="left"/>
      <w:pPr>
        <w:ind w:left="0" w:firstLine="0"/>
      </w:pPr>
      <w:rPr>
        <w:rFonts w:hint="default" w:ascii="Times New Roman" w:hAnsi="Times New Roman" w:cs="Times New Roman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7.%2.%3.%4.%5.%6"/>
      <w:lvlJc w:val="left"/>
      <w:pPr>
        <w:tabs>
          <w:tab w:val="left" w:pos="115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0" w:firstLine="0"/>
      </w:pPr>
      <w:rPr>
        <w:rFonts w:hint="eastAsia"/>
      </w:rPr>
    </w:lvl>
  </w:abstractNum>
  <w:abstractNum w:abstractNumId="11">
    <w:nsid w:val="3FD22E60"/>
    <w:multiLevelType w:val="singleLevel"/>
    <w:tmpl w:val="3FD22E60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2">
    <w:nsid w:val="4D6D17FE"/>
    <w:multiLevelType w:val="singleLevel"/>
    <w:tmpl w:val="4D6D17FE"/>
    <w:lvl w:ilvl="0" w:tentative="0">
      <w:start w:val="1"/>
      <w:numFmt w:val="lowerLetter"/>
      <w:lvlText w:val="%1)"/>
      <w:lvlJc w:val="left"/>
      <w:pPr>
        <w:tabs>
          <w:tab w:val="left" w:pos="800"/>
        </w:tabs>
        <w:ind w:left="800" w:hanging="400"/>
      </w:pPr>
    </w:lvl>
  </w:abstractNum>
  <w:abstractNum w:abstractNumId="13">
    <w:nsid w:val="4EE15631"/>
    <w:multiLevelType w:val="multilevel"/>
    <w:tmpl w:val="4EE15631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7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8"/>
      <w:suff w:val="space"/>
      <w:lvlText w:val="%1.%2.%3.%4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3"/>
      <w:lvlText w:val="%1.%2.%3.%4.%5"/>
      <w:lvlJc w:val="left"/>
      <w:pPr>
        <w:ind w:left="2551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5"/>
  </w:num>
  <w:num w:numId="13">
    <w:abstractNumId w:val="12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C4D"/>
    <w:rsid w:val="019E35C9"/>
    <w:rsid w:val="03FE6DF9"/>
    <w:rsid w:val="043D1165"/>
    <w:rsid w:val="049B460A"/>
    <w:rsid w:val="04CA5F13"/>
    <w:rsid w:val="057B2792"/>
    <w:rsid w:val="07E102D9"/>
    <w:rsid w:val="07FB0A26"/>
    <w:rsid w:val="08734277"/>
    <w:rsid w:val="08AD2073"/>
    <w:rsid w:val="090514BA"/>
    <w:rsid w:val="09975BD2"/>
    <w:rsid w:val="0A6D1DCA"/>
    <w:rsid w:val="0ABB46E2"/>
    <w:rsid w:val="0CB36566"/>
    <w:rsid w:val="0D070E08"/>
    <w:rsid w:val="0D2549DE"/>
    <w:rsid w:val="0D7633A7"/>
    <w:rsid w:val="0F915954"/>
    <w:rsid w:val="10416B87"/>
    <w:rsid w:val="11CD2746"/>
    <w:rsid w:val="12F75941"/>
    <w:rsid w:val="13E350F6"/>
    <w:rsid w:val="151C7E35"/>
    <w:rsid w:val="155E541B"/>
    <w:rsid w:val="16564E4B"/>
    <w:rsid w:val="16B33102"/>
    <w:rsid w:val="18AB172A"/>
    <w:rsid w:val="19C8321E"/>
    <w:rsid w:val="1AA54D6C"/>
    <w:rsid w:val="1ACD6B3F"/>
    <w:rsid w:val="1AFD3D34"/>
    <w:rsid w:val="1B07030F"/>
    <w:rsid w:val="1B1E4D4B"/>
    <w:rsid w:val="1C0256CB"/>
    <w:rsid w:val="1D281E65"/>
    <w:rsid w:val="1D56022F"/>
    <w:rsid w:val="1DFE2872"/>
    <w:rsid w:val="1E356E8E"/>
    <w:rsid w:val="220B1CEC"/>
    <w:rsid w:val="22507895"/>
    <w:rsid w:val="239C0D78"/>
    <w:rsid w:val="24707020"/>
    <w:rsid w:val="24DA7675"/>
    <w:rsid w:val="24F917A9"/>
    <w:rsid w:val="25243186"/>
    <w:rsid w:val="2558009C"/>
    <w:rsid w:val="25D965AC"/>
    <w:rsid w:val="2708422B"/>
    <w:rsid w:val="272122E0"/>
    <w:rsid w:val="273C0057"/>
    <w:rsid w:val="2A3F5231"/>
    <w:rsid w:val="2C2836AF"/>
    <w:rsid w:val="2CB93993"/>
    <w:rsid w:val="2E49263F"/>
    <w:rsid w:val="2E847A59"/>
    <w:rsid w:val="2E8E53DD"/>
    <w:rsid w:val="2EE16950"/>
    <w:rsid w:val="2F255FE5"/>
    <w:rsid w:val="30273F6A"/>
    <w:rsid w:val="32E40B7F"/>
    <w:rsid w:val="333F6F36"/>
    <w:rsid w:val="33F345E5"/>
    <w:rsid w:val="341E5AB2"/>
    <w:rsid w:val="342F5D1C"/>
    <w:rsid w:val="345000EC"/>
    <w:rsid w:val="383B7CB4"/>
    <w:rsid w:val="38440F1A"/>
    <w:rsid w:val="38B75A11"/>
    <w:rsid w:val="390C00F8"/>
    <w:rsid w:val="3A413490"/>
    <w:rsid w:val="3A4C68AE"/>
    <w:rsid w:val="3B47680D"/>
    <w:rsid w:val="3BA642E1"/>
    <w:rsid w:val="3E86131C"/>
    <w:rsid w:val="405A5CC5"/>
    <w:rsid w:val="40D90483"/>
    <w:rsid w:val="413D0443"/>
    <w:rsid w:val="418052FE"/>
    <w:rsid w:val="43894962"/>
    <w:rsid w:val="446E1E96"/>
    <w:rsid w:val="47281DDD"/>
    <w:rsid w:val="47311E73"/>
    <w:rsid w:val="477C7F19"/>
    <w:rsid w:val="483D73F0"/>
    <w:rsid w:val="483F6756"/>
    <w:rsid w:val="48445BE5"/>
    <w:rsid w:val="4914116B"/>
    <w:rsid w:val="498B36EB"/>
    <w:rsid w:val="49BA7AB6"/>
    <w:rsid w:val="49C97313"/>
    <w:rsid w:val="4BC37020"/>
    <w:rsid w:val="4CDB4835"/>
    <w:rsid w:val="4CE13019"/>
    <w:rsid w:val="4CF255B1"/>
    <w:rsid w:val="4E646699"/>
    <w:rsid w:val="4F560BB2"/>
    <w:rsid w:val="4F9B6B41"/>
    <w:rsid w:val="4FBC6595"/>
    <w:rsid w:val="50A67B5E"/>
    <w:rsid w:val="51087BA5"/>
    <w:rsid w:val="51160E05"/>
    <w:rsid w:val="51F83C04"/>
    <w:rsid w:val="55763CAB"/>
    <w:rsid w:val="570B23E3"/>
    <w:rsid w:val="578935BC"/>
    <w:rsid w:val="57C51296"/>
    <w:rsid w:val="59895A2F"/>
    <w:rsid w:val="59EE322D"/>
    <w:rsid w:val="5AA26459"/>
    <w:rsid w:val="5BAB7B4F"/>
    <w:rsid w:val="5D926DC3"/>
    <w:rsid w:val="5E5623E4"/>
    <w:rsid w:val="5EB46C78"/>
    <w:rsid w:val="6083723A"/>
    <w:rsid w:val="62033EB7"/>
    <w:rsid w:val="637449DE"/>
    <w:rsid w:val="6501186F"/>
    <w:rsid w:val="66DB718F"/>
    <w:rsid w:val="679A2E87"/>
    <w:rsid w:val="67AB6895"/>
    <w:rsid w:val="68D921A8"/>
    <w:rsid w:val="6A7841D9"/>
    <w:rsid w:val="6A8054B1"/>
    <w:rsid w:val="6B6D0362"/>
    <w:rsid w:val="6B993D4E"/>
    <w:rsid w:val="6CBC514C"/>
    <w:rsid w:val="6CD602B7"/>
    <w:rsid w:val="6F5A1A33"/>
    <w:rsid w:val="6F625D9B"/>
    <w:rsid w:val="6FAF562B"/>
    <w:rsid w:val="71516D7F"/>
    <w:rsid w:val="722534BC"/>
    <w:rsid w:val="72911FF8"/>
    <w:rsid w:val="73FD78A0"/>
    <w:rsid w:val="755D5C19"/>
    <w:rsid w:val="759C7433"/>
    <w:rsid w:val="759F35B5"/>
    <w:rsid w:val="76617148"/>
    <w:rsid w:val="775411A4"/>
    <w:rsid w:val="77A52EB0"/>
    <w:rsid w:val="78C90C7E"/>
    <w:rsid w:val="78DB34C7"/>
    <w:rsid w:val="790D0CE1"/>
    <w:rsid w:val="798C1918"/>
    <w:rsid w:val="79CE5B8D"/>
    <w:rsid w:val="79F30046"/>
    <w:rsid w:val="7B113D19"/>
    <w:rsid w:val="7B130790"/>
    <w:rsid w:val="7B626F9E"/>
    <w:rsid w:val="7C845436"/>
    <w:rsid w:val="7CB7029F"/>
    <w:rsid w:val="7DEA4E28"/>
    <w:rsid w:val="7DE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7">
    <w:name w:val="heading 1"/>
    <w:basedOn w:val="1"/>
    <w:next w:val="1"/>
    <w:link w:val="63"/>
    <w:qFormat/>
    <w:uiPriority w:val="0"/>
    <w:pPr>
      <w:keepNext/>
      <w:keepLines/>
      <w:spacing w:beforeAutospacing="0" w:afterAutospacing="0" w:line="576" w:lineRule="auto"/>
      <w:ind w:firstLine="0"/>
      <w:outlineLvl w:val="0"/>
    </w:pPr>
    <w:rPr>
      <w:rFonts w:asciiTheme="minorAscii" w:hAnsiTheme="minorAscii"/>
      <w:b/>
      <w:kern w:val="44"/>
      <w:sz w:val="44"/>
    </w:rPr>
  </w:style>
  <w:style w:type="paragraph" w:styleId="8">
    <w:name w:val="heading 2"/>
    <w:basedOn w:val="1"/>
    <w:next w:val="1"/>
    <w:link w:val="48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9">
    <w:name w:val="heading 3"/>
    <w:basedOn w:val="1"/>
    <w:next w:val="1"/>
    <w:link w:val="50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10">
    <w:name w:val="heading 4"/>
    <w:basedOn w:val="1"/>
    <w:next w:val="1"/>
    <w:link w:val="60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11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1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3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4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5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rPr>
      <w:rFonts w:ascii="楷体_GB2312" w:eastAsia="楷体_GB2312"/>
      <w:sz w:val="24"/>
    </w:rPr>
  </w:style>
  <w:style w:type="paragraph" w:styleId="16">
    <w:name w:val="Normal Indent"/>
    <w:basedOn w:val="1"/>
    <w:qFormat/>
    <w:uiPriority w:val="0"/>
    <w:pPr>
      <w:ind w:firstLine="420" w:firstLineChars="200"/>
    </w:pPr>
  </w:style>
  <w:style w:type="paragraph" w:styleId="17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Body Text First Indent"/>
    <w:basedOn w:val="5"/>
    <w:qFormat/>
    <w:uiPriority w:val="99"/>
    <w:pPr>
      <w:ind w:firstLine="420" w:firstLineChars="1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List 2 Accent 1"/>
    <w:basedOn w:val="22"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26">
    <w:name w:val="Hyperlink"/>
    <w:basedOn w:val="25"/>
    <w:qFormat/>
    <w:uiPriority w:val="0"/>
    <w:rPr>
      <w:color w:val="0000FF"/>
      <w:u w:val="single"/>
    </w:rPr>
  </w:style>
  <w:style w:type="paragraph" w:customStyle="1" w:styleId="27">
    <w:name w:val="样式12"/>
    <w:basedOn w:val="1"/>
    <w:next w:val="1"/>
    <w:qFormat/>
    <w:uiPriority w:val="0"/>
    <w:pPr>
      <w:numPr>
        <w:ilvl w:val="0"/>
        <w:numId w:val="2"/>
      </w:numPr>
      <w:jc w:val="center"/>
      <w:outlineLvl w:val="1"/>
    </w:pPr>
    <w:rPr>
      <w:rFonts w:asciiTheme="minorAscii" w:hAnsiTheme="minorAscii"/>
      <w:b/>
      <w:sz w:val="36"/>
    </w:rPr>
  </w:style>
  <w:style w:type="paragraph" w:customStyle="1" w:styleId="28">
    <w:name w:val="二级标题"/>
    <w:basedOn w:val="1"/>
    <w:next w:val="1"/>
    <w:qFormat/>
    <w:uiPriority w:val="0"/>
    <w:pPr>
      <w:numPr>
        <w:ilvl w:val="1"/>
        <w:numId w:val="3"/>
      </w:numPr>
      <w:ind w:left="0" w:firstLine="0"/>
      <w:jc w:val="center"/>
      <w:outlineLvl w:val="1"/>
    </w:pPr>
    <w:rPr>
      <w:rFonts w:eastAsia="仿宋_GB2312" w:asciiTheme="minorAscii" w:hAnsiTheme="minorAscii"/>
      <w:b/>
      <w:sz w:val="36"/>
    </w:rPr>
  </w:style>
  <w:style w:type="paragraph" w:customStyle="1" w:styleId="29">
    <w:name w:val="jp一级标题"/>
    <w:next w:val="1"/>
    <w:qFormat/>
    <w:uiPriority w:val="0"/>
    <w:pPr>
      <w:numPr>
        <w:ilvl w:val="0"/>
        <w:numId w:val="4"/>
      </w:numPr>
      <w:spacing w:after="100" w:afterLines="100" w:line="240" w:lineRule="auto"/>
      <w:ind w:left="0" w:firstLine="400"/>
      <w:jc w:val="center"/>
      <w:outlineLvl w:val="0"/>
    </w:pPr>
    <w:rPr>
      <w:rFonts w:ascii="黑体" w:hAnsi="黑体" w:eastAsia="黑体" w:cstheme="minorBidi"/>
      <w:b/>
      <w:sz w:val="44"/>
    </w:rPr>
  </w:style>
  <w:style w:type="paragraph" w:customStyle="1" w:styleId="30">
    <w:name w:val="三级标题"/>
    <w:basedOn w:val="1"/>
    <w:qFormat/>
    <w:uiPriority w:val="0"/>
    <w:pPr>
      <w:numPr>
        <w:ilvl w:val="2"/>
        <w:numId w:val="3"/>
      </w:numPr>
    </w:pPr>
  </w:style>
  <w:style w:type="paragraph" w:customStyle="1" w:styleId="31">
    <w:name w:val="四级标题"/>
    <w:basedOn w:val="1"/>
    <w:qFormat/>
    <w:uiPriority w:val="0"/>
    <w:pPr>
      <w:numPr>
        <w:ilvl w:val="3"/>
        <w:numId w:val="3"/>
      </w:numPr>
    </w:pPr>
  </w:style>
  <w:style w:type="paragraph" w:customStyle="1" w:styleId="32">
    <w:name w:val="五级标题"/>
    <w:basedOn w:val="1"/>
    <w:qFormat/>
    <w:uiPriority w:val="0"/>
    <w:pPr>
      <w:numPr>
        <w:ilvl w:val="4"/>
        <w:numId w:val="5"/>
      </w:numPr>
    </w:pPr>
  </w:style>
  <w:style w:type="paragraph" w:customStyle="1" w:styleId="33">
    <w:name w:val="783标题6"/>
    <w:basedOn w:val="1"/>
    <w:qFormat/>
    <w:uiPriority w:val="0"/>
    <w:pPr>
      <w:numPr>
        <w:ilvl w:val="5"/>
        <w:numId w:val="3"/>
      </w:numPr>
      <w:ind w:left="3260" w:hanging="1134"/>
    </w:pPr>
  </w:style>
  <w:style w:type="paragraph" w:customStyle="1" w:styleId="34">
    <w:name w:val="783标题7"/>
    <w:basedOn w:val="1"/>
    <w:qFormat/>
    <w:uiPriority w:val="0"/>
    <w:pPr>
      <w:numPr>
        <w:ilvl w:val="6"/>
        <w:numId w:val="3"/>
      </w:numPr>
      <w:ind w:left="3827" w:hanging="1276"/>
    </w:pPr>
  </w:style>
  <w:style w:type="paragraph" w:customStyle="1" w:styleId="35">
    <w:name w:val="jp二级标题"/>
    <w:basedOn w:val="1"/>
    <w:next w:val="1"/>
    <w:link w:val="45"/>
    <w:qFormat/>
    <w:uiPriority w:val="0"/>
    <w:pPr>
      <w:numPr>
        <w:ilvl w:val="1"/>
        <w:numId w:val="4"/>
      </w:numPr>
      <w:ind w:firstLine="0"/>
      <w:jc w:val="left"/>
      <w:outlineLvl w:val="1"/>
    </w:pPr>
    <w:rPr>
      <w:rFonts w:ascii="黑体" w:hAnsi="黑体" w:eastAsia="黑体"/>
      <w:b/>
      <w:sz w:val="36"/>
    </w:rPr>
  </w:style>
  <w:style w:type="paragraph" w:customStyle="1" w:styleId="36">
    <w:name w:val="一级标题"/>
    <w:basedOn w:val="1"/>
    <w:qFormat/>
    <w:uiPriority w:val="0"/>
    <w:pPr>
      <w:numPr>
        <w:ilvl w:val="0"/>
        <w:numId w:val="3"/>
      </w:numPr>
    </w:pPr>
  </w:style>
  <w:style w:type="paragraph" w:customStyle="1" w:styleId="37">
    <w:name w:val="jp三级标题"/>
    <w:link w:val="43"/>
    <w:qFormat/>
    <w:uiPriority w:val="0"/>
    <w:pPr>
      <w:numPr>
        <w:ilvl w:val="2"/>
        <w:numId w:val="4"/>
      </w:numPr>
      <w:ind w:firstLine="0"/>
      <w:jc w:val="left"/>
      <w:outlineLvl w:val="2"/>
    </w:pPr>
    <w:rPr>
      <w:rFonts w:ascii="黑体" w:hAnsi="黑体" w:eastAsia="黑体" w:cstheme="minorBidi"/>
      <w:b/>
      <w:sz w:val="32"/>
    </w:rPr>
  </w:style>
  <w:style w:type="paragraph" w:customStyle="1" w:styleId="38">
    <w:name w:val="jp四级标题"/>
    <w:basedOn w:val="1"/>
    <w:link w:val="44"/>
    <w:qFormat/>
    <w:uiPriority w:val="0"/>
    <w:pPr>
      <w:numPr>
        <w:ilvl w:val="3"/>
        <w:numId w:val="4"/>
      </w:numPr>
      <w:ind w:firstLine="0"/>
      <w:jc w:val="left"/>
      <w:outlineLvl w:val="3"/>
    </w:pPr>
    <w:rPr>
      <w:rFonts w:eastAsia="黑体" w:asciiTheme="minorAscii" w:hAnsiTheme="minorAscii"/>
      <w:b/>
    </w:rPr>
  </w:style>
  <w:style w:type="paragraph" w:customStyle="1" w:styleId="39">
    <w:name w:val="jp五级标题"/>
    <w:basedOn w:val="38"/>
    <w:next w:val="1"/>
    <w:link w:val="42"/>
    <w:qFormat/>
    <w:uiPriority w:val="0"/>
    <w:pPr>
      <w:numPr>
        <w:ilvl w:val="4"/>
        <w:numId w:val="4"/>
      </w:numPr>
      <w:outlineLvl w:val="4"/>
    </w:pPr>
  </w:style>
  <w:style w:type="paragraph" w:customStyle="1" w:styleId="40">
    <w:name w:val="jp正文无缩进"/>
    <w:basedOn w:val="1"/>
    <w:link w:val="51"/>
    <w:qFormat/>
    <w:uiPriority w:val="0"/>
    <w:pPr>
      <w:ind w:firstLine="0" w:firstLineChars="0"/>
    </w:pPr>
    <w:rPr>
      <w:rFonts w:ascii="仿宋_GB2312" w:hAnsi="仿宋_GB2312"/>
    </w:rPr>
  </w:style>
  <w:style w:type="paragraph" w:customStyle="1" w:styleId="41">
    <w:name w:val="jp六级标题"/>
    <w:basedOn w:val="39"/>
    <w:next w:val="1"/>
    <w:qFormat/>
    <w:uiPriority w:val="0"/>
    <w:pPr>
      <w:numPr>
        <w:ilvl w:val="5"/>
      </w:numPr>
      <w:outlineLvl w:val="5"/>
    </w:pPr>
  </w:style>
  <w:style w:type="character" w:customStyle="1" w:styleId="42">
    <w:name w:val="jp五级标题 Char"/>
    <w:link w:val="39"/>
    <w:qFormat/>
    <w:uiPriority w:val="0"/>
  </w:style>
  <w:style w:type="character" w:customStyle="1" w:styleId="43">
    <w:name w:val="jp三级标题 Char"/>
    <w:link w:val="37"/>
    <w:qFormat/>
    <w:uiPriority w:val="0"/>
    <w:rPr>
      <w:rFonts w:ascii="黑体" w:hAnsi="黑体" w:eastAsia="黑体" w:cstheme="minorBidi"/>
      <w:b/>
      <w:sz w:val="32"/>
    </w:rPr>
  </w:style>
  <w:style w:type="character" w:customStyle="1" w:styleId="44">
    <w:name w:val="jp四级标题 Char"/>
    <w:link w:val="38"/>
    <w:qFormat/>
    <w:uiPriority w:val="0"/>
    <w:rPr>
      <w:rFonts w:eastAsia="黑体" w:asciiTheme="minorAscii" w:hAnsiTheme="minorAscii"/>
      <w:b/>
      <w:sz w:val="28"/>
    </w:rPr>
  </w:style>
  <w:style w:type="character" w:customStyle="1" w:styleId="45">
    <w:name w:val="jp二级标题 Char"/>
    <w:link w:val="35"/>
    <w:qFormat/>
    <w:uiPriority w:val="0"/>
    <w:rPr>
      <w:rFonts w:ascii="黑体" w:hAnsi="黑体" w:eastAsia="黑体"/>
      <w:b/>
      <w:sz w:val="36"/>
    </w:rPr>
  </w:style>
  <w:style w:type="paragraph" w:customStyle="1" w:styleId="46">
    <w:name w:val="jp表格"/>
    <w:qFormat/>
    <w:uiPriority w:val="0"/>
    <w:pPr>
      <w:jc w:val="center"/>
    </w:pPr>
    <w:rPr>
      <w:rFonts w:ascii="仿宋_GB2312" w:hAnsi="仿宋_GB2312" w:eastAsia="仿宋_GB2312" w:cs="仿宋_GB2312"/>
      <w:sz w:val="21"/>
      <w:szCs w:val="21"/>
    </w:rPr>
  </w:style>
  <w:style w:type="paragraph" w:customStyle="1" w:styleId="47">
    <w:name w:val="jp正文缩进"/>
    <w:link w:val="52"/>
    <w:qFormat/>
    <w:uiPriority w:val="0"/>
    <w:pPr>
      <w:ind w:firstLine="876" w:firstLineChars="200"/>
    </w:pPr>
    <w:rPr>
      <w:rFonts w:ascii="仿宋_GB2312" w:hAnsi="仿宋_GB2312" w:eastAsia="仿宋_GB2312" w:cstheme="minorBidi"/>
      <w:sz w:val="28"/>
    </w:rPr>
  </w:style>
  <w:style w:type="character" w:customStyle="1" w:styleId="48">
    <w:name w:val="标题 2 Char"/>
    <w:basedOn w:val="25"/>
    <w:link w:val="8"/>
    <w:qFormat/>
    <w:uiPriority w:val="9"/>
    <w:rPr>
      <w:rFonts w:ascii="Arial" w:hAnsi="Arial" w:eastAsia="黑体"/>
      <w:b/>
      <w:sz w:val="32"/>
    </w:rPr>
  </w:style>
  <w:style w:type="character" w:customStyle="1" w:styleId="49">
    <w:name w:val="Heading 3 Char"/>
    <w:basedOn w:val="25"/>
    <w:link w:val="9"/>
    <w:qFormat/>
    <w:uiPriority w:val="9"/>
    <w:rPr>
      <w:b/>
      <w:sz w:val="32"/>
    </w:rPr>
  </w:style>
  <w:style w:type="character" w:customStyle="1" w:styleId="50">
    <w:name w:val="标题 3 Char"/>
    <w:basedOn w:val="25"/>
    <w:link w:val="9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51">
    <w:name w:val="jp正文无缩进 Char"/>
    <w:link w:val="40"/>
    <w:qFormat/>
    <w:uiPriority w:val="0"/>
    <w:rPr>
      <w:rFonts w:ascii="仿宋_GB2312" w:hAnsi="仿宋_GB2312" w:eastAsia="仿宋_GB2312"/>
      <w:sz w:val="28"/>
    </w:rPr>
  </w:style>
  <w:style w:type="character" w:customStyle="1" w:styleId="52">
    <w:name w:val="jp正文缩进 Char"/>
    <w:link w:val="47"/>
    <w:qFormat/>
    <w:uiPriority w:val="0"/>
    <w:rPr>
      <w:rFonts w:ascii="仿宋_GB2312" w:hAnsi="仿宋_GB2312" w:eastAsia="仿宋_GB2312" w:cstheme="minorBidi"/>
      <w:sz w:val="28"/>
    </w:rPr>
  </w:style>
  <w:style w:type="paragraph" w:customStyle="1" w:styleId="53">
    <w:name w:val="投标-正文"/>
    <w:basedOn w:val="1"/>
    <w:qFormat/>
    <w:uiPriority w:val="99"/>
    <w:pPr>
      <w:ind w:firstLine="200" w:firstLineChars="200"/>
      <w:jc w:val="left"/>
    </w:pPr>
    <w:rPr>
      <w:rFonts w:ascii="Times New Roman" w:hAnsi="Times New Roman"/>
      <w:sz w:val="28"/>
      <w:szCs w:val="28"/>
    </w:rPr>
  </w:style>
  <w:style w:type="paragraph" w:customStyle="1" w:styleId="5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  <w:style w:type="paragraph" w:customStyle="1" w:styleId="57">
    <w:name w:val="Code"/>
    <w:basedOn w:val="56"/>
    <w:qFormat/>
    <w:uiPriority w:val="0"/>
    <w:pPr>
      <w:shd w:val="clear" w:color="auto" w:fill="E7E6E6" w:themeFill="background2"/>
    </w:pPr>
    <w:rPr>
      <w:rFonts w:ascii="Consolas" w:hAnsi="Consolas"/>
      <w:sz w:val="16"/>
      <w:szCs w:val="16"/>
    </w:rPr>
  </w:style>
  <w:style w:type="paragraph" w:customStyle="1" w:styleId="58">
    <w:name w:val="标准文件_段落"/>
    <w:basedOn w:val="1"/>
    <w:qFormat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character" w:customStyle="1" w:styleId="59">
    <w:name w:val="标题 4 Char"/>
    <w:link w:val="10"/>
    <w:qFormat/>
    <w:uiPriority w:val="0"/>
    <w:rPr>
      <w:rFonts w:ascii="Arial" w:hAnsi="Arial" w:eastAsia="黑体"/>
      <w:b/>
      <w:sz w:val="28"/>
    </w:rPr>
  </w:style>
  <w:style w:type="character" w:customStyle="1" w:styleId="60">
    <w:name w:val="Heading 4 Char"/>
    <w:basedOn w:val="25"/>
    <w:link w:val="10"/>
    <w:qFormat/>
    <w:uiPriority w:val="9"/>
    <w:rPr>
      <w:rFonts w:ascii="Calibri" w:hAnsi="Calibri" w:eastAsia="仿宋_GB2312" w:cstheme="majorBidi"/>
      <w:b/>
      <w:iCs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  <w:style w:type="character" w:customStyle="1" w:styleId="61">
    <w:name w:val="fontstyle0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62">
    <w:name w:val="投标-4级标题"/>
    <w:basedOn w:val="53"/>
    <w:next w:val="53"/>
    <w:qFormat/>
    <w:uiPriority w:val="99"/>
    <w:pPr>
      <w:numPr>
        <w:ilvl w:val="3"/>
        <w:numId w:val="6"/>
      </w:numPr>
      <w:ind w:firstLineChars="0"/>
      <w:outlineLvl w:val="3"/>
    </w:pPr>
  </w:style>
  <w:style w:type="character" w:customStyle="1" w:styleId="63">
    <w:name w:val="标题 1 Char"/>
    <w:link w:val="7"/>
    <w:qFormat/>
    <w:uiPriority w:val="0"/>
    <w:rPr>
      <w:rFonts w:asciiTheme="minorAscii" w:hAnsiTheme="minorAscii"/>
      <w:b/>
      <w:kern w:val="44"/>
      <w:sz w:val="44"/>
    </w:rPr>
  </w:style>
  <w:style w:type="paragraph" w:customStyle="1" w:styleId="64">
    <w:name w:val="标准文件_段"/>
    <w:qFormat/>
    <w:uiPriority w:val="99"/>
    <w:pPr>
      <w:autoSpaceDE w:val="0"/>
      <w:autoSpaceDN w:val="0"/>
      <w:adjustRightInd w:val="0"/>
      <w:snapToGrid w:val="0"/>
      <w:spacing w:line="276" w:lineRule="auto"/>
      <w:ind w:left="-90" w:leftChars="-50" w:right="-90" w:rightChars="-50" w:firstLine="428" w:firstLineChars="200"/>
      <w:jc w:val="both"/>
    </w:pPr>
    <w:rPr>
      <w:rFonts w:ascii="宋体" w:hAnsi="宋体" w:eastAsia="宋体" w:cs="Times New Roman"/>
      <w:spacing w:val="2"/>
      <w:sz w:val="21"/>
      <w:lang w:val="en-US" w:eastAsia="zh-CN" w:bidi="ar-SA"/>
    </w:rPr>
  </w:style>
  <w:style w:type="paragraph" w:customStyle="1" w:styleId="65">
    <w:name w:val="表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 w:cs="Times New Roman"/>
      <w:sz w:val="18"/>
      <w:szCs w:val="24"/>
    </w:rPr>
  </w:style>
  <w:style w:type="paragraph" w:customStyle="1" w:styleId="66">
    <w:name w:val="783正文"/>
    <w:basedOn w:val="1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  <w:style w:type="paragraph" w:customStyle="1" w:styleId="67">
    <w:name w:val="783标题3"/>
    <w:basedOn w:val="9"/>
    <w:qFormat/>
    <w:uiPriority w:val="0"/>
    <w:pPr>
      <w:numPr>
        <w:numId w:val="7"/>
      </w:numPr>
      <w:spacing w:before="0" w:after="120" w:afterLines="50" w:line="240" w:lineRule="auto"/>
      <w:jc w:val="left"/>
    </w:pPr>
    <w:rPr>
      <w:rFonts w:ascii="宋体" w:hAnsi="宋体"/>
      <w:sz w:val="28"/>
    </w:rPr>
  </w:style>
  <w:style w:type="paragraph" w:customStyle="1" w:styleId="68">
    <w:name w:val="783标题4"/>
    <w:basedOn w:val="10"/>
    <w:qFormat/>
    <w:uiPriority w:val="0"/>
    <w:pPr>
      <w:numPr>
        <w:numId w:val="7"/>
      </w:numPr>
      <w:spacing w:before="0" w:after="50" w:afterLines="50" w:line="240" w:lineRule="auto"/>
      <w:jc w:val="left"/>
    </w:pPr>
    <w:rPr>
      <w:rFonts w:ascii="楷体" w:eastAsia="仿宋_GB2312"/>
    </w:rPr>
  </w:style>
  <w:style w:type="paragraph" w:customStyle="1" w:styleId="69">
    <w:name w:val="783图表注样式"/>
    <w:basedOn w:val="66"/>
    <w:qFormat/>
    <w:uiPriority w:val="1"/>
    <w:pPr>
      <w:spacing w:line="240" w:lineRule="auto"/>
      <w:ind w:firstLine="0" w:firstLineChars="0"/>
      <w:jc w:val="center"/>
    </w:pPr>
    <w:rPr>
      <w:rFonts w:hAnsi="等线"/>
      <w:kern w:val="2"/>
      <w:szCs w:val="22"/>
    </w:rPr>
  </w:style>
  <w:style w:type="paragraph" w:customStyle="1" w:styleId="70">
    <w:name w:val="题注表格"/>
    <w:qFormat/>
    <w:uiPriority w:val="10"/>
    <w:pPr>
      <w:keepNext/>
      <w:spacing w:before="50" w:beforeLines="50"/>
      <w:jc w:val="center"/>
    </w:pPr>
    <w:rPr>
      <w:rFonts w:ascii="Times New Roman" w:hAnsi="Times New Roman" w:eastAsia="黑体" w:cs="Times New Roman"/>
      <w:bCs/>
      <w:iCs/>
      <w:kern w:val="0"/>
      <w:sz w:val="24"/>
      <w:szCs w:val="28"/>
      <w:lang w:val="zh-CN" w:eastAsia="zh-CN" w:bidi="ar-SA"/>
    </w:rPr>
  </w:style>
  <w:style w:type="character" w:customStyle="1" w:styleId="71">
    <w:name w:val="783表格正文样式 Char"/>
    <w:link w:val="72"/>
    <w:qFormat/>
    <w:uiPriority w:val="1"/>
    <w:rPr>
      <w:rFonts w:ascii="宋体" w:hAnsi="等线" w:eastAsia="宋体"/>
      <w:kern w:val="2"/>
      <w:sz w:val="21"/>
      <w:szCs w:val="22"/>
    </w:rPr>
  </w:style>
  <w:style w:type="paragraph" w:customStyle="1" w:styleId="72">
    <w:name w:val="783表格正文样式"/>
    <w:basedOn w:val="66"/>
    <w:link w:val="71"/>
    <w:qFormat/>
    <w:uiPriority w:val="1"/>
    <w:pPr>
      <w:spacing w:before="15" w:beforeLines="15" w:after="30" w:afterLines="30" w:line="240" w:lineRule="auto"/>
      <w:ind w:firstLine="0" w:firstLineChars="0"/>
    </w:pPr>
    <w:rPr>
      <w:rFonts w:ascii="宋体" w:hAnsi="等线" w:eastAsia="宋体"/>
      <w:kern w:val="2"/>
      <w:sz w:val="21"/>
      <w:szCs w:val="22"/>
    </w:rPr>
  </w:style>
  <w:style w:type="paragraph" w:customStyle="1" w:styleId="73">
    <w:name w:val="783标题5"/>
    <w:basedOn w:val="68"/>
    <w:next w:val="66"/>
    <w:qFormat/>
    <w:uiPriority w:val="0"/>
    <w:pPr>
      <w:numPr>
        <w:ilvl w:val="4"/>
      </w:numPr>
      <w:tabs>
        <w:tab w:val="left" w:pos="1560"/>
      </w:tabs>
      <w:spacing w:after="120"/>
      <w:ind w:left="0" w:firstLine="0"/>
      <w:outlineLvl w:val="4"/>
    </w:pPr>
    <w:rPr>
      <w:rFonts w:hAnsi="等线 Light"/>
      <w:kern w:val="2"/>
      <w:szCs w:val="21"/>
    </w:rPr>
  </w:style>
  <w:style w:type="paragraph" w:customStyle="1" w:styleId="74">
    <w:name w:val="表格 标题"/>
    <w:basedOn w:val="1"/>
    <w:qFormat/>
    <w:uiPriority w:val="0"/>
    <w:pPr>
      <w:widowControl w:val="0"/>
      <w:snapToGrid/>
      <w:spacing w:line="360" w:lineRule="auto"/>
      <w:ind w:firstLine="360"/>
    </w:pPr>
    <w:rPr>
      <w:rFonts w:cs="Times New Roman"/>
      <w:b/>
      <w:szCs w:val="18"/>
    </w:rPr>
  </w:style>
  <w:style w:type="paragraph" w:customStyle="1" w:styleId="75">
    <w:name w:val="表格内正文"/>
    <w:basedOn w:val="1"/>
    <w:qFormat/>
    <w:uiPriority w:val="0"/>
    <w:pPr>
      <w:widowControl w:val="0"/>
      <w:adjustRightInd w:val="0"/>
      <w:spacing w:line="360" w:lineRule="auto"/>
      <w:ind w:firstLine="0" w:firstLineChars="0"/>
    </w:pPr>
    <w:rPr>
      <w:rFonts w:cs="Times New Roman"/>
      <w:szCs w:val="21"/>
    </w:rPr>
  </w:style>
  <w:style w:type="paragraph" w:customStyle="1" w:styleId="76">
    <w:name w:val="标准文件_一级条标题"/>
    <w:basedOn w:val="77"/>
    <w:next w:val="58"/>
    <w:qFormat/>
    <w:uiPriority w:val="0"/>
    <w:pPr>
      <w:numPr>
        <w:ilvl w:val="2"/>
      </w:numPr>
      <w:tabs>
        <w:tab w:val="left" w:pos="426"/>
      </w:tabs>
      <w:spacing w:beforeLines="0" w:afterLines="0"/>
      <w:outlineLvl w:val="2"/>
    </w:pPr>
    <w:rPr>
      <w:spacing w:val="2"/>
    </w:rPr>
  </w:style>
  <w:style w:type="paragraph" w:customStyle="1" w:styleId="77">
    <w:name w:val="标准文件_章标题"/>
    <w:next w:val="1"/>
    <w:qFormat/>
    <w:locked/>
    <w:uiPriority w:val="0"/>
    <w:pPr>
      <w:numPr>
        <w:ilvl w:val="1"/>
        <w:numId w:val="8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2020-06-23T02:50:00Z</dcterms:created>
  <dc:creator>Administrator</dc:creator>
  <cp:lastModifiedBy>Administrator</cp:lastModifiedBy>
  <dcterms:modified xsi:type="dcterms:W3CDTF">2020-07-31T06:43:12Z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