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霰弹枪模拟终端 技术规格书</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vAlign w:val="center"/>
          </w:tcPr>
          <w:p>
            <w:pPr>
              <w:bidi w:val="0"/>
              <w:jc w:val="center"/>
              <w:rPr>
                <w:rFonts w:hint="default"/>
                <w:lang w:val="en-US" w:eastAsia="zh-CN"/>
              </w:rPr>
            </w:pPr>
            <w:r>
              <w:rPr>
                <w:rFonts w:hint="eastAsia" w:ascii="仿宋_GB2312" w:hAnsi="仿宋_GB2312" w:cs="仿宋_GB2312"/>
                <w:sz w:val="24"/>
                <w:szCs w:val="24"/>
                <w:highlight w:val="none"/>
                <w:vertAlign w:val="baseline"/>
                <w:lang w:val="en-US" w:eastAsia="zh-CN"/>
              </w:rPr>
              <w:drawing>
                <wp:inline distT="0" distB="0" distL="114300" distR="114300">
                  <wp:extent cx="633095" cy="476250"/>
                  <wp:effectExtent l="0" t="0" r="14605" b="0"/>
                  <wp:docPr id="79" name="图片 79" descr="15871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587134219(1)"/>
                          <pic:cNvPicPr>
                            <a:picLocks noChangeAspect="1"/>
                          </pic:cNvPicPr>
                        </pic:nvPicPr>
                        <pic:blipFill>
                          <a:blip r:embed="rId6"/>
                          <a:stretch>
                            <a:fillRect/>
                          </a:stretch>
                        </pic:blipFill>
                        <pic:spPr>
                          <a:xfrm>
                            <a:off x="0" y="0"/>
                            <a:ext cx="633095" cy="476250"/>
                          </a:xfrm>
                          <a:prstGeom prst="rect">
                            <a:avLst/>
                          </a:prstGeom>
                        </pic:spPr>
                      </pic:pic>
                    </a:graphicData>
                  </a:graphic>
                </wp:inline>
              </w:drawing>
            </w:r>
            <w:r>
              <w:rPr>
                <w:rFonts w:hint="eastAsia" w:ascii="仿宋_GB2312" w:hAnsi="仿宋_GB2312" w:eastAsia="仿宋_GB2312" w:cs="仿宋_GB2312"/>
                <w:sz w:val="24"/>
                <w:szCs w:val="24"/>
                <w:vertAlign w:val="baseline"/>
                <w:lang w:val="en-US" w:eastAsia="zh-CN"/>
              </w:rPr>
              <w:drawing>
                <wp:inline distT="0" distB="0" distL="114300" distR="114300">
                  <wp:extent cx="2175510" cy="3201670"/>
                  <wp:effectExtent l="0" t="0" r="15240" b="17780"/>
                  <wp:docPr id="133" name="图片 133" descr="1单兵装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1单兵装具"/>
                          <pic:cNvPicPr>
                            <a:picLocks noChangeAspect="1"/>
                          </pic:cNvPicPr>
                        </pic:nvPicPr>
                        <pic:blipFill>
                          <a:blip r:embed="rId7"/>
                          <a:srcRect l="16764" t="8245" r="4459" b="5066"/>
                          <a:stretch>
                            <a:fillRect/>
                          </a:stretch>
                        </pic:blipFill>
                        <pic:spPr>
                          <a:xfrm>
                            <a:off x="0" y="0"/>
                            <a:ext cx="2175510" cy="3201670"/>
                          </a:xfrm>
                          <a:prstGeom prst="rect">
                            <a:avLst/>
                          </a:prstGeom>
                        </pic:spPr>
                      </pic:pic>
                    </a:graphicData>
                  </a:graphic>
                </wp:inline>
              </w:drawing>
            </w:r>
          </w:p>
        </w:tc>
      </w:tr>
    </w:tbl>
    <w:p>
      <w:pPr>
        <w:pStyle w:val="35"/>
        <w:bidi w:val="0"/>
      </w:pPr>
      <w:r>
        <w:rPr>
          <w:rFonts w:hint="eastAsia"/>
          <w:lang w:val="en-US" w:eastAsia="zh-CN"/>
        </w:rPr>
        <w:t>霰弹枪模拟终端</w:t>
      </w:r>
      <w:r>
        <w:t>用途</w:t>
      </w:r>
    </w:p>
    <w:p>
      <w:pPr>
        <w:pStyle w:val="46"/>
        <w:bidi w:val="0"/>
      </w:pPr>
      <w:r>
        <w:t>组织开展实兵训练演习时，用于单兵穿戴后模拟单兵人员的防御效能及被打击后的现地显示效果，既可独立使用，也可与单兵模拟器材绑定使用，模拟人装结合作战效能和效果。</w:t>
      </w:r>
    </w:p>
    <w:p>
      <w:pPr>
        <w:pStyle w:val="35"/>
        <w:bidi w:val="0"/>
      </w:pPr>
      <w:r>
        <w:rPr>
          <w:rFonts w:hint="eastAsia"/>
          <w:lang w:val="en-US" w:eastAsia="zh-CN"/>
        </w:rPr>
        <w:t>霰弹枪模拟终端</w:t>
      </w:r>
      <w:r>
        <w:t>组成</w:t>
      </w:r>
    </w:p>
    <w:p>
      <w:pPr>
        <w:pStyle w:val="46"/>
        <w:bidi w:val="0"/>
      </w:pPr>
      <w:r>
        <w:t>主要由</w:t>
      </w:r>
      <w:r>
        <w:rPr>
          <w:rFonts w:hint="eastAsia"/>
          <w:lang w:val="en-US" w:eastAsia="zh-CN"/>
        </w:rPr>
        <w:t>单兵装具、</w:t>
      </w:r>
      <w:r>
        <w:t>激光发射机、击发器和电池等组成，如下图所示：</w:t>
      </w:r>
    </w:p>
    <w:p>
      <w:pPr>
        <w:pStyle w:val="46"/>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114550" cy="2781300"/>
            <wp:effectExtent l="0" t="0" r="0" b="0"/>
            <wp:docPr id="1" name="图片 1" descr="霰弹枪模拟终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霰弹枪模拟终端"/>
                    <pic:cNvPicPr>
                      <a:picLocks noChangeAspect="1"/>
                    </pic:cNvPicPr>
                  </pic:nvPicPr>
                  <pic:blipFill>
                    <a:blip r:embed="rId8"/>
                    <a:stretch>
                      <a:fillRect/>
                    </a:stretch>
                  </pic:blipFill>
                  <pic:spPr>
                    <a:xfrm>
                      <a:off x="0" y="0"/>
                      <a:ext cx="2114550" cy="2781300"/>
                    </a:xfrm>
                    <a:prstGeom prst="rect">
                      <a:avLst/>
                    </a:prstGeom>
                  </pic:spPr>
                </pic:pic>
              </a:graphicData>
            </a:graphic>
          </wp:inline>
        </w:drawing>
      </w:r>
    </w:p>
    <w:p>
      <w:pPr>
        <w:pStyle w:val="35"/>
        <w:bidi w:val="0"/>
      </w:pPr>
      <w:bookmarkStart w:id="0" w:name="_Toc22379507"/>
      <w:bookmarkStart w:id="1" w:name="_Toc19102411"/>
      <w:r>
        <w:rPr>
          <w:rFonts w:hint="eastAsia"/>
          <w:lang w:val="en-US" w:eastAsia="zh-CN"/>
        </w:rPr>
        <w:t>霰弹枪模拟终端功能</w:t>
      </w:r>
    </w:p>
    <w:p>
      <w:pPr>
        <w:pStyle w:val="37"/>
        <w:bidi w:val="0"/>
      </w:pPr>
      <w:r>
        <w:t>火力效能模拟</w:t>
      </w:r>
      <w:bookmarkEnd w:id="0"/>
      <w:bookmarkEnd w:id="1"/>
    </w:p>
    <w:p>
      <w:pPr>
        <w:pStyle w:val="40"/>
        <w:numPr>
          <w:ilvl w:val="0"/>
          <w:numId w:val="8"/>
        </w:numPr>
        <w:bidi w:val="0"/>
      </w:pPr>
      <w:r>
        <w:rPr>
          <w:rFonts w:hint="eastAsia"/>
          <w:lang w:eastAsia="zh-CN"/>
        </w:rPr>
        <w:t>发射机</w:t>
      </w:r>
      <w:r>
        <w:t>能通过发射不同编码激光，模拟武器发射各型弹药的火力毁伤效能；</w:t>
      </w:r>
    </w:p>
    <w:p>
      <w:pPr>
        <w:pStyle w:val="40"/>
        <w:numPr>
          <w:ilvl w:val="0"/>
          <w:numId w:val="8"/>
        </w:numPr>
        <w:bidi w:val="0"/>
      </w:pPr>
      <w:r>
        <w:rPr>
          <w:rFonts w:hint="eastAsia"/>
          <w:lang w:eastAsia="zh-CN"/>
        </w:rPr>
        <w:t>发射机</w:t>
      </w:r>
      <w:r>
        <w:t>激光最大作用距离</w:t>
      </w:r>
      <w:r>
        <w:rPr>
          <w:rFonts w:hint="eastAsia"/>
          <w:lang w:eastAsia="zh-CN"/>
        </w:rPr>
        <w:t>：</w:t>
      </w:r>
      <w:r>
        <w:rPr>
          <w:rFonts w:hint="eastAsia"/>
          <w:lang w:val="en-US" w:eastAsia="zh-CN"/>
        </w:rPr>
        <w:t>200m</w:t>
      </w:r>
      <w:r>
        <w:t>；</w:t>
      </w:r>
    </w:p>
    <w:p>
      <w:pPr>
        <w:pStyle w:val="40"/>
        <w:numPr>
          <w:ilvl w:val="0"/>
          <w:numId w:val="8"/>
        </w:numPr>
        <w:bidi w:val="0"/>
      </w:pPr>
      <w:r>
        <w:rPr>
          <w:rFonts w:hint="eastAsia"/>
          <w:lang w:eastAsia="zh-CN"/>
        </w:rPr>
        <w:t>发射机</w:t>
      </w:r>
      <w:r>
        <w:t>激光光斑命中目标有效部位均能有效识别，在有效射程处光斑尺寸</w:t>
      </w:r>
      <w:r>
        <w:rPr>
          <w:rFonts w:hint="eastAsia"/>
          <w:lang w:eastAsia="zh-CN"/>
        </w:rPr>
        <w:t>：</w:t>
      </w:r>
      <w:r>
        <w:t>40cm；</w:t>
      </w:r>
    </w:p>
    <w:p>
      <w:pPr>
        <w:pStyle w:val="40"/>
        <w:numPr>
          <w:ilvl w:val="0"/>
          <w:numId w:val="8"/>
        </w:numPr>
        <w:bidi w:val="0"/>
      </w:pPr>
      <w:r>
        <w:rPr>
          <w:rFonts w:hint="eastAsia"/>
          <w:lang w:eastAsia="zh-CN"/>
        </w:rPr>
        <w:t>发射机</w:t>
      </w:r>
      <w:r>
        <w:t>能模拟武器发射射速</w:t>
      </w:r>
      <w:r>
        <w:rPr>
          <w:rFonts w:hint="eastAsia"/>
          <w:lang w:eastAsia="zh-CN"/>
        </w:rPr>
        <w:t>：</w:t>
      </w:r>
      <w:r>
        <w:rPr>
          <w:rFonts w:hint="eastAsia"/>
          <w:lang w:val="en-US" w:eastAsia="zh-CN"/>
        </w:rPr>
        <w:t>10发/min</w:t>
      </w:r>
      <w:r>
        <w:t>；</w:t>
      </w:r>
    </w:p>
    <w:p>
      <w:pPr>
        <w:pStyle w:val="37"/>
        <w:bidi w:val="0"/>
      </w:pPr>
      <w:bookmarkStart w:id="2" w:name="_Toc22379508"/>
      <w:bookmarkStart w:id="3" w:name="_Toc19102412"/>
      <w:r>
        <w:t>发射控制</w:t>
      </w:r>
      <w:bookmarkEnd w:id="2"/>
      <w:bookmarkEnd w:id="3"/>
    </w:p>
    <w:p>
      <w:pPr>
        <w:pStyle w:val="40"/>
        <w:numPr>
          <w:ilvl w:val="0"/>
          <w:numId w:val="9"/>
        </w:numPr>
        <w:bidi w:val="0"/>
      </w:pPr>
      <w:r>
        <w:rPr>
          <w:rFonts w:hint="eastAsia"/>
          <w:lang w:eastAsia="zh-CN"/>
        </w:rPr>
        <w:t>发射机</w:t>
      </w:r>
      <w:r>
        <w:t>能接收单兵装具发出的控制指令，实现激光发射功能的锁定和解锁；</w:t>
      </w:r>
    </w:p>
    <w:p>
      <w:pPr>
        <w:pStyle w:val="40"/>
        <w:numPr>
          <w:ilvl w:val="0"/>
          <w:numId w:val="9"/>
        </w:numPr>
        <w:bidi w:val="0"/>
      </w:pPr>
      <w:r>
        <w:rPr>
          <w:rFonts w:hint="eastAsia"/>
          <w:lang w:eastAsia="zh-CN"/>
        </w:rPr>
        <w:t>发射机</w:t>
      </w:r>
      <w:r>
        <w:t>能根据来自于单兵装具的弹量信息，实现激光发射功能的自动锁定和解锁：当弹量为0时，锁定发射功能；当弹量不为0时，解锁发射功能；</w:t>
      </w:r>
    </w:p>
    <w:p>
      <w:pPr>
        <w:pStyle w:val="40"/>
        <w:numPr>
          <w:ilvl w:val="0"/>
          <w:numId w:val="9"/>
        </w:numPr>
        <w:bidi w:val="0"/>
      </w:pPr>
      <w:r>
        <w:rPr>
          <w:rFonts w:hint="eastAsia"/>
          <w:lang w:eastAsia="zh-CN"/>
        </w:rPr>
        <w:t>发射机</w:t>
      </w:r>
      <w:r>
        <w:t>能根据与单兵装具的连接状态，实现激光发射功能的自动锁定和解锁：当断开连接后，锁定发射功能；当有效连接后，解锁发射功能；</w:t>
      </w:r>
    </w:p>
    <w:p>
      <w:pPr>
        <w:pStyle w:val="40"/>
        <w:numPr>
          <w:ilvl w:val="0"/>
          <w:numId w:val="9"/>
        </w:numPr>
        <w:bidi w:val="0"/>
      </w:pPr>
      <w:r>
        <w:rPr>
          <w:rFonts w:hint="eastAsia"/>
          <w:lang w:eastAsia="zh-CN"/>
        </w:rPr>
        <w:t>发射机</w:t>
      </w:r>
      <w:r>
        <w:t>支持击发器触发和空包弹触发两种触发方式；</w:t>
      </w:r>
    </w:p>
    <w:p>
      <w:pPr>
        <w:pStyle w:val="40"/>
        <w:numPr>
          <w:ilvl w:val="0"/>
          <w:numId w:val="9"/>
        </w:numPr>
        <w:bidi w:val="0"/>
      </w:pPr>
      <w:r>
        <w:rPr>
          <w:rFonts w:hint="eastAsia"/>
          <w:lang w:eastAsia="zh-CN"/>
        </w:rPr>
        <w:t>发射机</w:t>
      </w:r>
      <w:r>
        <w:t>能模拟武器</w:t>
      </w:r>
      <w:r>
        <w:rPr>
          <w:rFonts w:hint="eastAsia"/>
          <w:lang w:val="en-US" w:eastAsia="zh-CN"/>
        </w:rPr>
        <w:t>弹药补充</w:t>
      </w:r>
      <w:r>
        <w:t>操作。</w:t>
      </w:r>
    </w:p>
    <w:p>
      <w:pPr>
        <w:pStyle w:val="37"/>
        <w:bidi w:val="0"/>
      </w:pPr>
      <w:bookmarkStart w:id="4" w:name="_Toc22379509"/>
      <w:bookmarkStart w:id="5" w:name="_Toc19102413"/>
      <w:r>
        <w:t>发射指示</w:t>
      </w:r>
      <w:bookmarkEnd w:id="4"/>
      <w:bookmarkEnd w:id="5"/>
    </w:p>
    <w:p>
      <w:pPr>
        <w:pStyle w:val="46"/>
        <w:bidi w:val="0"/>
      </w:pPr>
      <w:r>
        <w:rPr>
          <w:rFonts w:hint="eastAsia"/>
          <w:lang w:eastAsia="zh-CN"/>
        </w:rPr>
        <w:t>发射机</w:t>
      </w:r>
      <w:r>
        <w:t>能通过指示灯显示有效发射状态，夜间模式下能自动调低指示灯亮度。</w:t>
      </w:r>
    </w:p>
    <w:p>
      <w:pPr>
        <w:pStyle w:val="37"/>
        <w:bidi w:val="0"/>
      </w:pPr>
      <w:bookmarkStart w:id="6" w:name="_Toc22379510"/>
      <w:bookmarkStart w:id="7" w:name="_Toc19102414"/>
      <w:r>
        <w:t>告警提示</w:t>
      </w:r>
      <w:bookmarkEnd w:id="6"/>
      <w:bookmarkEnd w:id="7"/>
    </w:p>
    <w:p>
      <w:pPr>
        <w:pStyle w:val="46"/>
        <w:bidi w:val="0"/>
      </w:pPr>
      <w:r>
        <w:rPr>
          <w:rFonts w:hint="eastAsia"/>
          <w:lang w:eastAsia="zh-CN"/>
        </w:rPr>
        <w:t>发射机</w:t>
      </w:r>
      <w:r>
        <w:t>能实时检测电池电量，并能通过指示灯实现电量过低告警。</w:t>
      </w:r>
    </w:p>
    <w:p>
      <w:pPr>
        <w:pStyle w:val="46"/>
        <w:bidi w:val="0"/>
        <w:rPr>
          <w:rFonts w:hint="eastAsia"/>
        </w:rPr>
      </w:pPr>
      <w:r>
        <w:rPr>
          <w:rFonts w:hint="eastAsia"/>
        </w:rPr>
        <w:t>a) 产品能模拟绑定武器发射时的发射声音；</w:t>
      </w:r>
    </w:p>
    <w:p>
      <w:pPr>
        <w:pStyle w:val="46"/>
        <w:bidi w:val="0"/>
        <w:rPr>
          <w:rFonts w:hint="eastAsia"/>
        </w:rPr>
      </w:pPr>
      <w:r>
        <w:rPr>
          <w:rFonts w:hint="eastAsia"/>
        </w:rPr>
        <w:t>b) 产品能模拟人员受到火力覆盖时的战场音效；</w:t>
      </w:r>
    </w:p>
    <w:p>
      <w:pPr>
        <w:pStyle w:val="46"/>
        <w:bidi w:val="0"/>
      </w:pPr>
      <w:r>
        <w:rPr>
          <w:rFonts w:hint="eastAsia"/>
        </w:rPr>
        <w:t>c) 产品能采用语音播报方式对人员被命中、弹药缺失、电量过低、连接异常等事件进行告警提示。</w:t>
      </w:r>
    </w:p>
    <w:p>
      <w:pPr>
        <w:pStyle w:val="37"/>
        <w:bidi w:val="0"/>
      </w:pPr>
      <w:bookmarkStart w:id="8" w:name="_Toc22379511"/>
      <w:bookmarkStart w:id="9" w:name="_Toc19102415"/>
      <w:r>
        <w:t>昼夜模式切换</w:t>
      </w:r>
      <w:bookmarkEnd w:id="8"/>
      <w:bookmarkEnd w:id="9"/>
    </w:p>
    <w:p>
      <w:pPr>
        <w:pStyle w:val="46"/>
        <w:bidi w:val="0"/>
      </w:pPr>
      <w:r>
        <w:rPr>
          <w:rFonts w:hint="eastAsia"/>
          <w:lang w:eastAsia="zh-CN"/>
        </w:rPr>
        <w:t>发射机</w:t>
      </w:r>
      <w:r>
        <w:t>能接收单兵装具发送的控制信息，实现昼夜模式切换，夜间模式下能自动调低状态指示灯亮度。</w:t>
      </w:r>
    </w:p>
    <w:p>
      <w:pPr>
        <w:pStyle w:val="46"/>
        <w:bidi w:val="0"/>
        <w:rPr>
          <w:rFonts w:hint="eastAsia"/>
        </w:rPr>
      </w:pPr>
      <w:r>
        <w:rPr>
          <w:rFonts w:hint="eastAsia"/>
        </w:rPr>
        <w:t>产品能响应远程或现地模式切换指令，自动完成昼夜模式切换；</w:t>
      </w:r>
    </w:p>
    <w:p>
      <w:pPr>
        <w:pStyle w:val="46"/>
        <w:bidi w:val="0"/>
      </w:pPr>
      <w:r>
        <w:rPr>
          <w:rFonts w:hint="eastAsia"/>
        </w:rPr>
        <w:t>产品进入夜间模式时，能自动调低语音提示音量和相关状态指示灯亮度。</w:t>
      </w:r>
    </w:p>
    <w:p>
      <w:pPr>
        <w:pStyle w:val="37"/>
        <w:bidi w:val="0"/>
      </w:pPr>
      <w:bookmarkStart w:id="10" w:name="_Toc19102416"/>
      <w:bookmarkStart w:id="11" w:name="_Toc22379512"/>
      <w:r>
        <w:t>信息交互</w:t>
      </w:r>
      <w:bookmarkEnd w:id="10"/>
      <w:bookmarkEnd w:id="11"/>
    </w:p>
    <w:p>
      <w:pPr>
        <w:pStyle w:val="40"/>
        <w:numPr>
          <w:ilvl w:val="0"/>
          <w:numId w:val="10"/>
        </w:numPr>
        <w:bidi w:val="0"/>
      </w:pPr>
      <w:r>
        <w:rPr>
          <w:rFonts w:hint="eastAsia"/>
          <w:lang w:eastAsia="zh-CN"/>
        </w:rPr>
        <w:t>发射机</w:t>
      </w:r>
      <w:r>
        <w:t>能与单兵装具建立无线连接，最大无线通信距离位于1～5m之间；</w:t>
      </w:r>
    </w:p>
    <w:p>
      <w:pPr>
        <w:pStyle w:val="40"/>
        <w:numPr>
          <w:ilvl w:val="0"/>
          <w:numId w:val="10"/>
        </w:numPr>
        <w:bidi w:val="0"/>
      </w:pPr>
      <w:r>
        <w:rPr>
          <w:rFonts w:hint="eastAsia"/>
          <w:lang w:eastAsia="zh-CN"/>
        </w:rPr>
        <w:t>发射机</w:t>
      </w:r>
      <w:r>
        <w:t>能接收单兵装具发出的弹药设置指令，实现模拟装弹；</w:t>
      </w:r>
    </w:p>
    <w:p>
      <w:pPr>
        <w:pStyle w:val="40"/>
        <w:numPr>
          <w:ilvl w:val="0"/>
          <w:numId w:val="10"/>
        </w:numPr>
        <w:bidi w:val="0"/>
      </w:pPr>
      <w:r>
        <w:rPr>
          <w:rFonts w:hint="eastAsia"/>
          <w:lang w:eastAsia="zh-CN"/>
        </w:rPr>
        <w:t>发射机</w:t>
      </w:r>
      <w:r>
        <w:t>能通过无线方式向单兵装具上传武器发射、弹药消耗、剩余电量等信息。</w:t>
      </w:r>
    </w:p>
    <w:p>
      <w:pPr>
        <w:pStyle w:val="37"/>
        <w:bidi w:val="0"/>
      </w:pPr>
      <w:bookmarkStart w:id="12" w:name="_Toc22379513"/>
      <w:bookmarkStart w:id="13" w:name="_Toc19102417"/>
      <w:r>
        <w:t>重量</w:t>
      </w:r>
      <w:bookmarkEnd w:id="12"/>
      <w:bookmarkEnd w:id="13"/>
    </w:p>
    <w:p>
      <w:pPr>
        <w:pStyle w:val="46"/>
        <w:bidi w:val="0"/>
      </w:pPr>
      <w:r>
        <w:t>激光发射机重量</w:t>
      </w:r>
      <w:r>
        <w:rPr>
          <w:rFonts w:hint="eastAsia"/>
          <w:lang w:eastAsia="zh-CN"/>
        </w:rPr>
        <w:t>：</w:t>
      </w:r>
      <w:r>
        <w:rPr>
          <w:rFonts w:hint="eastAsia"/>
          <w:lang w:val="en-US" w:eastAsia="zh-CN"/>
        </w:rPr>
        <w:t>42</w:t>
      </w:r>
      <w:r>
        <w:t>0g。（含单组电池）</w:t>
      </w:r>
    </w:p>
    <w:p>
      <w:pPr>
        <w:pStyle w:val="37"/>
        <w:bidi w:val="0"/>
        <w:rPr>
          <w:rFonts w:hint="eastAsia"/>
        </w:rPr>
      </w:pPr>
      <w:r>
        <w:rPr>
          <w:rFonts w:hint="eastAsia"/>
        </w:rPr>
        <w:t>伤情模拟</w:t>
      </w:r>
    </w:p>
    <w:p>
      <w:pPr>
        <w:pStyle w:val="46"/>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6"/>
        <w:bidi w:val="0"/>
        <w:rPr>
          <w:rFonts w:hint="eastAsia"/>
        </w:rPr>
      </w:pPr>
      <w:r>
        <w:rPr>
          <w:rFonts w:hint="eastAsia"/>
        </w:rPr>
        <w:t>b) 产品具备水平360°，垂直±45°的激光接收能力；</w:t>
      </w:r>
    </w:p>
    <w:p>
      <w:pPr>
        <w:pStyle w:val="46"/>
        <w:bidi w:val="0"/>
        <w:rPr>
          <w:rFonts w:hint="eastAsia"/>
        </w:rPr>
      </w:pPr>
      <w:r>
        <w:rPr>
          <w:rFonts w:hint="eastAsia"/>
        </w:rPr>
        <w:t>c) 产品激光接收器在接收到有效数据4字节的数据帧时，解码时间10ms；</w:t>
      </w:r>
    </w:p>
    <w:p>
      <w:pPr>
        <w:pStyle w:val="46"/>
        <w:bidi w:val="0"/>
        <w:rPr>
          <w:rFonts w:hint="eastAsia"/>
        </w:rPr>
      </w:pPr>
      <w:r>
        <w:rPr>
          <w:rFonts w:hint="eastAsia"/>
        </w:rPr>
        <w:t>d) 在频率1KHz，脉宽2us的噪声干扰背景下，产品激光接收解码成功率99%；</w:t>
      </w:r>
    </w:p>
    <w:p>
      <w:pPr>
        <w:pStyle w:val="46"/>
        <w:bidi w:val="0"/>
        <w:rPr>
          <w:rFonts w:hint="eastAsia"/>
        </w:rPr>
      </w:pPr>
      <w:r>
        <w:rPr>
          <w:rFonts w:hint="eastAsia"/>
        </w:rPr>
        <w:t>e) 产品的多个激光接收器同时接收到同一激光束时，以激光接收器的中心位置为实际命中位置；</w:t>
      </w:r>
    </w:p>
    <w:p>
      <w:pPr>
        <w:pStyle w:val="46"/>
        <w:bidi w:val="0"/>
        <w:rPr>
          <w:rFonts w:hint="eastAsia"/>
        </w:rPr>
      </w:pPr>
      <w:r>
        <w:rPr>
          <w:rFonts w:hint="eastAsia"/>
        </w:rPr>
        <w:t>f) 在未得到有效救治时，产品能模拟各类伤势随时间的自然恶化效果；</w:t>
      </w:r>
    </w:p>
    <w:p>
      <w:pPr>
        <w:pStyle w:val="46"/>
        <w:bidi w:val="0"/>
        <w:rPr>
          <w:rFonts w:hint="eastAsia"/>
        </w:rPr>
      </w:pPr>
      <w:r>
        <w:rPr>
          <w:rFonts w:hint="eastAsia"/>
        </w:rPr>
        <w:t>h) 当人员丧失战斗能力时，产品能自动使绑定的模拟器材失效；</w:t>
      </w:r>
    </w:p>
    <w:p>
      <w:pPr>
        <w:pStyle w:val="46"/>
        <w:bidi w:val="0"/>
        <w:rPr>
          <w:rFonts w:hint="eastAsia"/>
        </w:rPr>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6"/>
        <w:bidi w:val="0"/>
        <w:rPr>
          <w:rFonts w:hint="eastAsia"/>
        </w:rPr>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6"/>
        <w:bidi w:val="0"/>
        <w:rPr>
          <w:rFonts w:hint="eastAsia"/>
        </w:rPr>
      </w:pPr>
      <w:r>
        <w:rPr>
          <w:rFonts w:hint="eastAsia"/>
        </w:rPr>
        <w:t>a) 产品能对自身状态信息进行实时查询，并采用图形化方式显示以下状态信息：</w:t>
      </w:r>
    </w:p>
    <w:p>
      <w:pPr>
        <w:pStyle w:val="46"/>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6"/>
        <w:bidi w:val="0"/>
        <w:rPr>
          <w:rFonts w:hint="eastAsia"/>
        </w:rPr>
      </w:pPr>
      <w:r>
        <w:rPr>
          <w:rFonts w:hint="eastAsia"/>
        </w:rPr>
        <w:t>b) 显示设备硬件要求：</w:t>
      </w:r>
    </w:p>
    <w:p>
      <w:pPr>
        <w:pStyle w:val="46"/>
        <w:bidi w:val="0"/>
        <w:rPr>
          <w:rFonts w:hint="eastAsia"/>
        </w:rPr>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6"/>
        <w:bidi w:val="0"/>
        <w:rPr>
          <w:rFonts w:hint="eastAsia"/>
        </w:rPr>
      </w:pPr>
      <w:r>
        <w:rPr>
          <w:rFonts w:hint="eastAsia"/>
        </w:rPr>
        <w:t>产品包含训练状态与演习状态。</w:t>
      </w:r>
    </w:p>
    <w:p>
      <w:pPr>
        <w:pStyle w:val="37"/>
        <w:bidi w:val="0"/>
        <w:rPr>
          <w:rFonts w:hint="eastAsia"/>
        </w:rPr>
      </w:pPr>
      <w:r>
        <w:rPr>
          <w:rFonts w:hint="eastAsia"/>
        </w:rPr>
        <w:t>远程控制响应</w:t>
      </w:r>
    </w:p>
    <w:p>
      <w:pPr>
        <w:pStyle w:val="46"/>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6"/>
        <w:bidi w:val="0"/>
        <w:rPr>
          <w:rFonts w:hint="eastAsia"/>
        </w:rPr>
      </w:pPr>
      <w:r>
        <w:rPr>
          <w:rFonts w:hint="eastAsia"/>
        </w:rPr>
        <w:t>b) 产品能够在演习过程中实时接收主控软件下发的弹药参数设置无线指令，实现弹药的远程加载及补给；</w:t>
      </w:r>
    </w:p>
    <w:p>
      <w:pPr>
        <w:pStyle w:val="46"/>
        <w:bidi w:val="0"/>
        <w:rPr>
          <w:rFonts w:hint="eastAsia"/>
        </w:rPr>
      </w:pPr>
      <w:r>
        <w:rPr>
          <w:rFonts w:hint="eastAsia"/>
        </w:rPr>
        <w:t>c) 产品能够接收主控软件下发的导控裁决无线指令，实现远程裁决操作；</w:t>
      </w:r>
    </w:p>
    <w:p>
      <w:pPr>
        <w:pStyle w:val="46"/>
        <w:bidi w:val="0"/>
        <w:rPr>
          <w:rFonts w:hint="eastAsia"/>
        </w:rPr>
      </w:pPr>
      <w:r>
        <w:rPr>
          <w:rFonts w:hint="eastAsia"/>
        </w:rPr>
        <w:t>d) 产品能够接收主控软件下发的演习密钥设置无线指令，并能将密钥信息自动转发至武器发射机；</w:t>
      </w:r>
    </w:p>
    <w:p>
      <w:pPr>
        <w:pStyle w:val="46"/>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6"/>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6"/>
        <w:bidi w:val="0"/>
        <w:rPr>
          <w:rFonts w:hint="eastAsia"/>
        </w:rPr>
      </w:pPr>
      <w:r>
        <w:rPr>
          <w:rFonts w:hint="eastAsia"/>
        </w:rPr>
        <w:t>b) 产品能够在演习过程中实时接收弹药输送车模拟终端的弹药参数设置指令，实现弹药的现地加载及补给；</w:t>
      </w:r>
    </w:p>
    <w:p>
      <w:pPr>
        <w:pStyle w:val="46"/>
        <w:bidi w:val="0"/>
        <w:rPr>
          <w:rFonts w:hint="eastAsia"/>
        </w:rPr>
      </w:pPr>
      <w:r>
        <w:rPr>
          <w:rFonts w:hint="eastAsia"/>
        </w:rPr>
        <w:t>c) 产品能够接收调理枪的导控裁决指令，实现现地裁决等操作；</w:t>
      </w:r>
    </w:p>
    <w:p>
      <w:pPr>
        <w:pStyle w:val="46"/>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6"/>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6"/>
        <w:bidi w:val="0"/>
        <w:rPr>
          <w:rFonts w:hint="eastAsia"/>
        </w:rPr>
      </w:pPr>
      <w:r>
        <w:rPr>
          <w:rFonts w:hint="eastAsia"/>
        </w:rPr>
        <w:t>b) 产品上传状态信息最长时间间隔为15s；</w:t>
      </w:r>
    </w:p>
    <w:p>
      <w:pPr>
        <w:pStyle w:val="46"/>
        <w:bidi w:val="0"/>
        <w:rPr>
          <w:rFonts w:hint="eastAsia"/>
        </w:rPr>
      </w:pPr>
      <w:r>
        <w:rPr>
          <w:rFonts w:hint="eastAsia"/>
        </w:rPr>
        <w:t>c) 产品能按预设的时间间隔定时上传绑定装备状态信息，如武器类型、弹药类型和剩余弹量等；</w:t>
      </w:r>
    </w:p>
    <w:p>
      <w:pPr>
        <w:pStyle w:val="46"/>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6"/>
        <w:bidi w:val="0"/>
        <w:rPr>
          <w:rFonts w:hint="eastAsia"/>
        </w:rPr>
      </w:pPr>
      <w:r>
        <w:rPr>
          <w:rFonts w:hint="eastAsia"/>
        </w:rPr>
        <w:t>产品能自动检测故障状态(包括通信模块失效、定位模块失效等)、欠电状态、部件连接状态等信息，并完成自动上传。</w:t>
      </w:r>
    </w:p>
    <w:p>
      <w:pPr>
        <w:pStyle w:val="37"/>
        <w:bidi w:val="0"/>
        <w:rPr>
          <w:rFonts w:hint="eastAsia"/>
        </w:rPr>
      </w:pPr>
      <w:r>
        <w:rPr>
          <w:rFonts w:hint="eastAsia"/>
        </w:rPr>
        <w:t>违规处置</w:t>
      </w:r>
    </w:p>
    <w:p>
      <w:pPr>
        <w:pStyle w:val="46"/>
        <w:bidi w:val="0"/>
        <w:rPr>
          <w:rFonts w:hint="eastAsia"/>
        </w:rPr>
      </w:pPr>
      <w:r>
        <w:rPr>
          <w:rFonts w:hint="eastAsia"/>
        </w:rPr>
        <w:t>a) 产品能自动检测火工品安装情况，当未按要求安装火工品时，自动使绑定的模拟器材失效；</w:t>
      </w:r>
    </w:p>
    <w:p>
      <w:pPr>
        <w:pStyle w:val="46"/>
        <w:bidi w:val="0"/>
        <w:rPr>
          <w:rFonts w:hint="eastAsia"/>
        </w:rPr>
      </w:pPr>
      <w:r>
        <w:rPr>
          <w:rFonts w:hint="eastAsia"/>
        </w:rPr>
        <w:t>b) 产品能自动检测当前伤亡后移动情况，当出现丧失战斗能力后的非法移动时，产品自动上报违规信息；</w:t>
      </w:r>
    </w:p>
    <w:p>
      <w:pPr>
        <w:pStyle w:val="46"/>
        <w:bidi w:val="0"/>
        <w:rPr>
          <w:rFonts w:hint="eastAsia"/>
        </w:rPr>
      </w:pPr>
      <w:r>
        <w:rPr>
          <w:rFonts w:hint="eastAsia"/>
        </w:rPr>
        <w:t>c) 产品能自动检测开关机信号，当出现在演习状态且在未欠电状态的关机重启时，产品自动判定为死亡状态，并使绑定的模拟器材失效。</w:t>
      </w:r>
    </w:p>
    <w:p>
      <w:pPr>
        <w:pStyle w:val="37"/>
        <w:bidi w:val="0"/>
        <w:rPr>
          <w:rFonts w:hint="eastAsia"/>
        </w:rPr>
      </w:pPr>
      <w:r>
        <w:rPr>
          <w:rFonts w:hint="eastAsia"/>
        </w:rPr>
        <w:t>辅助管理</w:t>
      </w:r>
    </w:p>
    <w:p>
      <w:pPr>
        <w:pStyle w:val="46"/>
        <w:bidi w:val="0"/>
        <w:rPr>
          <w:rFonts w:hint="eastAsia"/>
        </w:rPr>
      </w:pPr>
      <w:r>
        <w:rPr>
          <w:rFonts w:hint="eastAsia"/>
        </w:rPr>
        <w:t>a) 产品配置用于器材管理的无源RFID电子标签，标签内预置产品名称、产品编号、生产单位代字、所属单位代字等基本信息，标签类型和工作频率等参数与配套的器材信息化管理系统读写设备相一致；</w:t>
      </w:r>
    </w:p>
    <w:p>
      <w:pPr>
        <w:pStyle w:val="46"/>
        <w:bidi w:val="0"/>
      </w:pPr>
      <w:r>
        <w:rPr>
          <w:rFonts w:hint="eastAsia"/>
        </w:rPr>
        <w:t>b) 产品在包装状态下通过配套的器材信息化管理系统出入库时，系统能读取RFID储存的相关信息。</w:t>
      </w:r>
    </w:p>
    <w:p>
      <w:pPr>
        <w:pStyle w:val="35"/>
        <w:bidi w:val="0"/>
      </w:pPr>
      <w:bookmarkStart w:id="14" w:name="_Toc22379514"/>
      <w:bookmarkStart w:id="15" w:name="_Toc19102418"/>
      <w:r>
        <w:t>接口</w:t>
      </w:r>
      <w:bookmarkEnd w:id="14"/>
      <w:bookmarkEnd w:id="15"/>
    </w:p>
    <w:p>
      <w:pPr>
        <w:pStyle w:val="37"/>
        <w:bidi w:val="0"/>
      </w:pPr>
      <w:bookmarkStart w:id="16" w:name="_Toc19102419"/>
      <w:bookmarkStart w:id="17" w:name="_Toc10314049"/>
      <w:bookmarkStart w:id="18" w:name="_Toc22379515"/>
      <w:r>
        <w:t>激光光学接口</w:t>
      </w:r>
      <w:bookmarkEnd w:id="16"/>
      <w:bookmarkEnd w:id="17"/>
      <w:bookmarkEnd w:id="18"/>
    </w:p>
    <w:p>
      <w:pPr>
        <w:pStyle w:val="46"/>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19" w:name="_Toc22379516"/>
      <w:bookmarkStart w:id="20" w:name="_Toc19102420"/>
      <w:bookmarkStart w:id="21" w:name="_Toc10316969"/>
      <w:r>
        <w:t>信息交互接口</w:t>
      </w:r>
      <w:bookmarkEnd w:id="19"/>
      <w:bookmarkEnd w:id="20"/>
      <w:bookmarkEnd w:id="21"/>
    </w:p>
    <w:p>
      <w:pPr>
        <w:pStyle w:val="46"/>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2" w:name="_Toc19102428"/>
      <w:bookmarkStart w:id="23" w:name="_Toc22379524"/>
      <w:r>
        <w:t>数据存储</w:t>
      </w:r>
    </w:p>
    <w:p>
      <w:pPr>
        <w:pStyle w:val="40"/>
        <w:numPr>
          <w:ilvl w:val="0"/>
          <w:numId w:val="11"/>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1"/>
        </w:numPr>
        <w:bidi w:val="0"/>
      </w:pPr>
      <w:r>
        <w:rPr>
          <w:rFonts w:hint="eastAsia"/>
        </w:rPr>
        <w:t>单兵装具能实时显示当前未完成上传事件数量。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2"/>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2"/>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2"/>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2"/>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2"/>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2"/>
        </w:numPr>
        <w:bidi w:val="0"/>
      </w:pPr>
      <w:r>
        <w:t>具有开机自检功能，检测内容包括火工品安装检测、定位状态检测等</w:t>
      </w:r>
    </w:p>
    <w:p>
      <w:pPr>
        <w:numPr>
          <w:ilvl w:val="0"/>
          <w:numId w:val="12"/>
        </w:numPr>
        <w:bidi w:val="0"/>
        <w:ind w:left="420" w:leftChars="0" w:hanging="420" w:firstLineChars="0"/>
      </w:pPr>
      <w:r>
        <w:rPr>
          <w:rFonts w:hint="eastAsia"/>
        </w:rPr>
        <w:t>产品能根据故障检测设备的测试指令自动完成故障定位输出，虚警率2%；</w:t>
      </w:r>
    </w:p>
    <w:p>
      <w:pPr>
        <w:numPr>
          <w:ilvl w:val="0"/>
          <w:numId w:val="12"/>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2"/>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2"/>
        </w:numPr>
        <w:bidi w:val="0"/>
        <w:ind w:left="420" w:leftChars="0" w:hanging="420" w:firstLineChars="0"/>
      </w:pPr>
      <w:r>
        <w:rPr>
          <w:rFonts w:hint="eastAsia"/>
        </w:rPr>
        <w:t>产品符合相应人眼危害距离要求；</w:t>
      </w:r>
    </w:p>
    <w:p>
      <w:pPr>
        <w:numPr>
          <w:ilvl w:val="0"/>
          <w:numId w:val="12"/>
        </w:numPr>
        <w:bidi w:val="0"/>
        <w:ind w:left="420" w:leftChars="0" w:hanging="420" w:firstLineChars="0"/>
      </w:pPr>
      <w:r>
        <w:rPr>
          <w:rFonts w:hint="eastAsia"/>
        </w:rPr>
        <w:t>产品火工品安装处有安全警示标志和操作规程；</w:t>
      </w:r>
    </w:p>
    <w:p>
      <w:pPr>
        <w:numPr>
          <w:ilvl w:val="0"/>
          <w:numId w:val="12"/>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2"/>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2"/>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2"/>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2"/>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2"/>
      <w:bookmarkEnd w:id="23"/>
    </w:p>
    <w:p>
      <w:pPr>
        <w:pStyle w:val="46"/>
        <w:bidi w:val="0"/>
        <w:rPr>
          <w:rFonts w:hint="eastAsia"/>
        </w:rPr>
      </w:pPr>
      <w:r>
        <w:rPr>
          <w:rFonts w:hint="eastAsia"/>
          <w:lang w:eastAsia="zh-CN"/>
        </w:rPr>
        <w:t>发射机</w:t>
      </w:r>
      <w:r>
        <w:rPr>
          <w:rFonts w:hint="eastAsia"/>
        </w:rPr>
        <w:t>能接收主控软件下发的我军及外军同类武器火力和防护性能参数配置指令，并能按配置要求完成有效射程</w:t>
      </w:r>
      <w:r>
        <w:t>600</w:t>
      </w:r>
      <w:r>
        <w:rPr>
          <w:rFonts w:hint="eastAsia"/>
        </w:rPr>
        <w:t>米以内的我军及外军</w:t>
      </w:r>
      <w:r>
        <w:rPr>
          <w:rFonts w:hint="eastAsia"/>
          <w:lang w:val="en-US" w:eastAsia="zh-CN"/>
        </w:rPr>
        <w:t>霰弹枪</w:t>
      </w:r>
      <w:r>
        <w:rPr>
          <w:rFonts w:hint="eastAsia"/>
        </w:rPr>
        <w:t>效能模拟。</w:t>
      </w:r>
    </w:p>
    <w:p>
      <w:pPr>
        <w:pStyle w:val="35"/>
        <w:bidi w:val="0"/>
      </w:pPr>
      <w:bookmarkStart w:id="24" w:name="_Toc8916849"/>
      <w:bookmarkStart w:id="25" w:name="_Toc22379525"/>
      <w:bookmarkStart w:id="26" w:name="_Toc19102429"/>
      <w:r>
        <w:t>电磁兼容性要求</w:t>
      </w:r>
      <w:bookmarkEnd w:id="24"/>
      <w:bookmarkEnd w:id="25"/>
      <w:bookmarkEnd w:id="26"/>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3"/>
        </w:numPr>
        <w:bidi w:val="0"/>
      </w:pPr>
      <w:r>
        <w:t>RS103电场辐射敏感度（10kHz～40GHz）：10V/m；</w:t>
      </w:r>
    </w:p>
    <w:p>
      <w:pPr>
        <w:pStyle w:val="40"/>
        <w:numPr>
          <w:ilvl w:val="0"/>
          <w:numId w:val="13"/>
        </w:numPr>
        <w:bidi w:val="0"/>
      </w:pPr>
      <w:r>
        <w:t>CS114电缆束注入传导敏感度（4kHz～400MHz）：曲线二；</w:t>
      </w:r>
    </w:p>
    <w:p>
      <w:pPr>
        <w:pStyle w:val="40"/>
        <w:numPr>
          <w:ilvl w:val="0"/>
          <w:numId w:val="13"/>
        </w:numPr>
        <w:bidi w:val="0"/>
      </w:pPr>
      <w:r>
        <w:t>CS115电缆束注入脉冲激励传导敏感度：5A；</w:t>
      </w:r>
    </w:p>
    <w:p>
      <w:pPr>
        <w:pStyle w:val="40"/>
        <w:numPr>
          <w:ilvl w:val="0"/>
          <w:numId w:val="13"/>
        </w:numPr>
        <w:bidi w:val="0"/>
      </w:pPr>
      <w:r>
        <w:t>CS116电缆和电源线阻尼正弦瞬态传导敏感度（10kHz～100MHz）：标准限值；</w:t>
      </w:r>
    </w:p>
    <w:p>
      <w:pPr>
        <w:pStyle w:val="40"/>
        <w:numPr>
          <w:ilvl w:val="0"/>
          <w:numId w:val="13"/>
        </w:numPr>
        <w:bidi w:val="0"/>
      </w:pPr>
      <w:r>
        <w:t>RE102电场辐射发射（10kHz～18GHz）：标准限值+20dB。</w:t>
      </w:r>
    </w:p>
    <w:p>
      <w:pPr>
        <w:pStyle w:val="35"/>
        <w:bidi w:val="0"/>
      </w:pPr>
      <w:bookmarkStart w:id="27" w:name="_Toc19102430"/>
      <w:bookmarkStart w:id="28" w:name="_Toc22379526"/>
      <w:r>
        <w:t>供电</w:t>
      </w:r>
      <w:bookmarkEnd w:id="27"/>
      <w:bookmarkEnd w:id="28"/>
    </w:p>
    <w:p>
      <w:pPr>
        <w:pStyle w:val="40"/>
        <w:numPr>
          <w:ilvl w:val="0"/>
          <w:numId w:val="14"/>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4"/>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4"/>
        </w:numPr>
        <w:bidi w:val="0"/>
      </w:pPr>
      <w:r>
        <w:t>单组电池充电时间：6h；</w:t>
      </w:r>
    </w:p>
    <w:p>
      <w:pPr>
        <w:pStyle w:val="40"/>
        <w:numPr>
          <w:ilvl w:val="0"/>
          <w:numId w:val="14"/>
        </w:numPr>
        <w:bidi w:val="0"/>
      </w:pPr>
      <w:r>
        <w:rPr>
          <w:rFonts w:hint="eastAsia"/>
          <w:lang w:eastAsia="zh-CN"/>
        </w:rPr>
        <w:t>发射机</w:t>
      </w:r>
      <w:r>
        <w:t>提供1组备用电池，电池更换时间</w:t>
      </w:r>
      <w:r>
        <w:rPr>
          <w:rFonts w:hint="eastAsia"/>
          <w:lang w:eastAsia="zh-CN"/>
        </w:rPr>
        <w:t>：</w:t>
      </w:r>
      <w:r>
        <w:t>1min。</w:t>
      </w:r>
    </w:p>
    <w:p>
      <w:pPr>
        <w:pStyle w:val="40"/>
        <w:numPr>
          <w:ilvl w:val="0"/>
          <w:numId w:val="14"/>
        </w:numPr>
        <w:bidi w:val="0"/>
      </w:pPr>
      <w:r>
        <w:rPr>
          <w:rFonts w:hint="eastAsia"/>
        </w:rPr>
        <w:t>产品单兵装具电池容量满足连续工作时间12h（单组电池）要求；</w:t>
      </w:r>
    </w:p>
    <w:p>
      <w:pPr>
        <w:pStyle w:val="35"/>
        <w:bidi w:val="0"/>
      </w:pPr>
      <w:bookmarkStart w:id="29" w:name="_Toc22379527"/>
      <w:bookmarkStart w:id="30" w:name="_Toc19102431"/>
      <w:r>
        <w:t>安装使用</w:t>
      </w:r>
      <w:bookmarkEnd w:id="29"/>
      <w:bookmarkEnd w:id="30"/>
    </w:p>
    <w:p>
      <w:pPr>
        <w:pStyle w:val="40"/>
        <w:numPr>
          <w:ilvl w:val="0"/>
          <w:numId w:val="15"/>
        </w:numPr>
        <w:bidi w:val="0"/>
      </w:pPr>
      <w:bookmarkStart w:id="31" w:name="_Toc8916853"/>
      <w:bookmarkStart w:id="32" w:name="_Toc19102433"/>
      <w:bookmarkStart w:id="33" w:name="_Toc22379529"/>
      <w:r>
        <w:t>产品安装后不妨碍武器实装瞄准使用，安装时间</w:t>
      </w:r>
      <w:r>
        <w:rPr>
          <w:rFonts w:hint="eastAsia"/>
          <w:lang w:eastAsia="zh-CN"/>
        </w:rPr>
        <w:t>：</w:t>
      </w:r>
      <w:r>
        <w:t>2min；</w:t>
      </w:r>
    </w:p>
    <w:p>
      <w:pPr>
        <w:pStyle w:val="40"/>
        <w:numPr>
          <w:ilvl w:val="0"/>
          <w:numId w:val="15"/>
        </w:numPr>
        <w:bidi w:val="0"/>
      </w:pPr>
      <w:r>
        <w:t>产品外形尺寸不影响武器携行和瞄准；</w:t>
      </w:r>
    </w:p>
    <w:p>
      <w:pPr>
        <w:pStyle w:val="40"/>
        <w:numPr>
          <w:ilvl w:val="0"/>
          <w:numId w:val="15"/>
        </w:numPr>
        <w:bidi w:val="0"/>
      </w:pPr>
      <w:r>
        <w:t>产品能通过实装瞄准机构实现瞄准射击；</w:t>
      </w:r>
    </w:p>
    <w:p>
      <w:pPr>
        <w:pStyle w:val="40"/>
        <w:numPr>
          <w:ilvl w:val="0"/>
          <w:numId w:val="15"/>
        </w:numPr>
        <w:bidi w:val="0"/>
      </w:pPr>
      <w:r>
        <w:t>无需专用工具进行校准，校准时间</w:t>
      </w:r>
      <w:r>
        <w:rPr>
          <w:rFonts w:hint="eastAsia"/>
          <w:lang w:eastAsia="zh-CN"/>
        </w:rPr>
        <w:t>：</w:t>
      </w:r>
      <w:r>
        <w:t>5min。</w:t>
      </w:r>
    </w:p>
    <w:p>
      <w:pPr>
        <w:pStyle w:val="40"/>
        <w:numPr>
          <w:ilvl w:val="0"/>
          <w:numId w:val="15"/>
        </w:numPr>
        <w:bidi w:val="0"/>
      </w:pPr>
      <w:r>
        <w:rPr>
          <w:rFonts w:hint="eastAsia"/>
        </w:rPr>
        <w:t>产品开关具有防误触发功能。</w:t>
      </w:r>
      <w:bookmarkStart w:id="45" w:name="_GoBack"/>
      <w:bookmarkEnd w:id="45"/>
    </w:p>
    <w:p>
      <w:pPr>
        <w:pStyle w:val="35"/>
        <w:bidi w:val="0"/>
      </w:pPr>
      <w:r>
        <w:t>标志</w:t>
      </w:r>
      <w:bookmarkEnd w:id="31"/>
      <w:bookmarkEnd w:id="32"/>
      <w:bookmarkEnd w:id="33"/>
    </w:p>
    <w:p>
      <w:pPr>
        <w:pStyle w:val="46"/>
        <w:bidi w:val="0"/>
      </w:pPr>
      <w:r>
        <w:rPr>
          <w:rFonts w:hint="eastAsia"/>
          <w:lang w:eastAsia="zh-CN"/>
        </w:rPr>
        <w:t>发射机</w:t>
      </w:r>
      <w:r>
        <w:t>标志包括</w:t>
      </w:r>
      <w:r>
        <w:rPr>
          <w:rFonts w:hint="eastAsia"/>
          <w:lang w:eastAsia="zh-CN"/>
        </w:rPr>
        <w:t>发射机</w:t>
      </w:r>
      <w:r>
        <w:t>名称、</w:t>
      </w:r>
      <w:r>
        <w:rPr>
          <w:rFonts w:hint="eastAsia"/>
          <w:lang w:eastAsia="zh-CN"/>
        </w:rPr>
        <w:t>发射机</w:t>
      </w:r>
      <w:r>
        <w:t>编号。</w:t>
      </w:r>
    </w:p>
    <w:p>
      <w:pPr>
        <w:pStyle w:val="35"/>
        <w:bidi w:val="0"/>
      </w:pPr>
      <w:bookmarkStart w:id="34" w:name="_Toc22379530"/>
      <w:bookmarkStart w:id="35" w:name="_Toc8916854"/>
      <w:bookmarkStart w:id="36" w:name="_Toc19102434"/>
      <w:r>
        <w:t>包装</w:t>
      </w:r>
      <w:bookmarkEnd w:id="34"/>
      <w:bookmarkEnd w:id="35"/>
      <w:bookmarkEnd w:id="36"/>
    </w:p>
    <w:p>
      <w:pPr>
        <w:pStyle w:val="37"/>
        <w:bidi w:val="0"/>
      </w:pPr>
      <w:bookmarkStart w:id="37" w:name="_Toc22379531"/>
      <w:bookmarkStart w:id="38" w:name="_Toc19102435"/>
      <w:bookmarkStart w:id="39" w:name="_Toc8916855"/>
      <w:r>
        <w:rPr>
          <w:rFonts w:hint="eastAsia"/>
          <w:lang w:eastAsia="zh-CN"/>
        </w:rPr>
        <w:t>发射机</w:t>
      </w:r>
      <w:r>
        <w:t>包装</w:t>
      </w:r>
      <w:bookmarkEnd w:id="37"/>
      <w:bookmarkEnd w:id="38"/>
      <w:bookmarkEnd w:id="39"/>
    </w:p>
    <w:p>
      <w:pPr>
        <w:pStyle w:val="46"/>
        <w:bidi w:val="0"/>
      </w:pPr>
      <w:r>
        <w:rPr>
          <w:rFonts w:hint="eastAsia"/>
          <w:lang w:eastAsia="zh-CN"/>
        </w:rPr>
        <w:t>发射机</w:t>
      </w:r>
      <w:r>
        <w:t>与单兵装具合并包装。</w:t>
      </w:r>
    </w:p>
    <w:p>
      <w:pPr>
        <w:pStyle w:val="37"/>
        <w:bidi w:val="0"/>
      </w:pPr>
      <w:bookmarkStart w:id="40" w:name="_Toc22379532"/>
      <w:bookmarkStart w:id="41" w:name="_Toc19102436"/>
      <w:bookmarkStart w:id="42" w:name="_Toc8916856"/>
      <w:r>
        <w:t>运输包装</w:t>
      </w:r>
      <w:bookmarkEnd w:id="40"/>
      <w:bookmarkEnd w:id="41"/>
      <w:bookmarkEnd w:id="42"/>
    </w:p>
    <w:p>
      <w:pPr>
        <w:pStyle w:val="46"/>
        <w:bidi w:val="0"/>
      </w:pPr>
      <w:r>
        <w:rPr>
          <w:rFonts w:hint="eastAsia"/>
          <w:lang w:eastAsia="zh-CN"/>
        </w:rPr>
        <w:t>发射机</w:t>
      </w:r>
      <w:r>
        <w:t>与单兵装具合并包装运输。</w:t>
      </w:r>
    </w:p>
    <w:p>
      <w:pPr>
        <w:pStyle w:val="35"/>
        <w:bidi w:val="0"/>
      </w:pPr>
      <w:bookmarkStart w:id="43" w:name="_Toc22379534"/>
      <w:bookmarkStart w:id="44" w:name="_Toc19102438"/>
      <w:r>
        <w:t>成套性</w:t>
      </w:r>
      <w:bookmarkEnd w:id="43"/>
      <w:bookmarkEnd w:id="44"/>
    </w:p>
    <w:tbl>
      <w:tblPr>
        <w:tblStyle w:val="2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2023"/>
        <w:gridCol w:w="814"/>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top w:val="single" w:color="000000" w:sz="12" w:space="0"/>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序号</w:t>
            </w:r>
          </w:p>
        </w:tc>
        <w:tc>
          <w:tcPr>
            <w:tcW w:w="2023"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部件</w:t>
            </w:r>
          </w:p>
        </w:tc>
        <w:tc>
          <w:tcPr>
            <w:tcW w:w="814"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数量</w:t>
            </w:r>
          </w:p>
        </w:tc>
        <w:tc>
          <w:tcPr>
            <w:tcW w:w="948"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单位</w:t>
            </w:r>
          </w:p>
        </w:tc>
        <w:tc>
          <w:tcPr>
            <w:tcW w:w="4368" w:type="dxa"/>
            <w:tcBorders>
              <w:top w:val="single" w:color="000000" w:sz="12" w:space="0"/>
              <w:bottom w:val="single" w:color="000000" w:sz="12" w:space="0"/>
              <w:right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2023"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21"/>
                <w:szCs w:val="21"/>
                <w:lang w:val="en-US" w:eastAsia="zh-CN"/>
              </w:rPr>
            </w:pPr>
            <w:r>
              <w:rPr>
                <w:rFonts w:hint="eastAsia" w:ascii="Calibri" w:cs="Calibri"/>
                <w:sz w:val="21"/>
                <w:szCs w:val="21"/>
                <w:lang w:val="en-US" w:eastAsia="zh-CN"/>
              </w:rPr>
              <w:t>单兵装具</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948" w:type="dxa"/>
            <w:shd w:val="clear" w:color="auto" w:fill="auto"/>
            <w:vAlign w:val="center"/>
          </w:tcPr>
          <w:p>
            <w:pPr>
              <w:snapToGrid w:val="0"/>
              <w:ind w:firstLine="0"/>
              <w:jc w:val="center"/>
              <w:rPr>
                <w:rFonts w:hint="eastAsia" w:ascii="Calibri" w:hAnsi="Calibri" w:eastAsia="仿宋_GB2312" w:cs="Calibri"/>
                <w:kern w:val="2"/>
                <w:sz w:val="21"/>
                <w:szCs w:val="21"/>
                <w:lang w:val="en-US" w:eastAsia="zh-CN"/>
              </w:rPr>
            </w:pPr>
            <w:r>
              <w:rPr>
                <w:rFonts w:hint="eastAsia" w:cs="Calibri"/>
                <w:kern w:val="2"/>
                <w:sz w:val="21"/>
                <w:szCs w:val="21"/>
                <w:lang w:val="en-US" w:eastAsia="zh-CN"/>
              </w:rPr>
              <w:t>套</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2</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激光发射机</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3</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击发器</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4</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电池</w:t>
            </w:r>
          </w:p>
        </w:tc>
        <w:tc>
          <w:tcPr>
            <w:tcW w:w="814" w:type="dxa"/>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组</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5</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14500电池充电器</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eastAsia="zh-CN"/>
              </w:rPr>
            </w:pPr>
            <w:r>
              <w:rPr>
                <w:rFonts w:ascii="Calibri" w:hAnsi="Calibri" w:cs="Calibri"/>
                <w:sz w:val="21"/>
                <w:szCs w:val="21"/>
              </w:rPr>
              <w:t>1/</w:t>
            </w:r>
            <w:r>
              <w:rPr>
                <w:rFonts w:hint="eastAsia" w:ascii="Calibri" w:cs="Calibri"/>
                <w:sz w:val="21"/>
                <w:szCs w:val="21"/>
                <w:lang w:val="en-US" w:eastAsia="zh-CN"/>
              </w:rPr>
              <w:t>6</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个</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bottom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6</w:t>
            </w:r>
          </w:p>
        </w:tc>
        <w:tc>
          <w:tcPr>
            <w:tcW w:w="2023"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hint="eastAsia" w:ascii="Calibri" w:cs="Calibri"/>
                <w:sz w:val="21"/>
                <w:szCs w:val="21"/>
                <w:lang w:eastAsia="zh-CN"/>
              </w:rPr>
              <w:t>发射机</w:t>
            </w:r>
            <w:r>
              <w:rPr>
                <w:rFonts w:ascii="Calibri" w:hAnsi="Calibri" w:cs="Calibri"/>
                <w:sz w:val="21"/>
                <w:szCs w:val="21"/>
              </w:rPr>
              <w:t>资料</w:t>
            </w:r>
          </w:p>
        </w:tc>
        <w:tc>
          <w:tcPr>
            <w:tcW w:w="814" w:type="dxa"/>
            <w:tcBorders>
              <w:bottom w:val="single" w:color="000000" w:sz="12" w:space="0"/>
            </w:tcBorders>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48" w:type="dxa"/>
            <w:tcBorders>
              <w:bottom w:val="single" w:color="000000" w:sz="12" w:space="0"/>
            </w:tcBorders>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套</w:t>
            </w:r>
          </w:p>
        </w:tc>
        <w:tc>
          <w:tcPr>
            <w:tcW w:w="4368" w:type="dxa"/>
            <w:tcBorders>
              <w:bottom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140006B0"/>
    <w:multiLevelType w:val="singleLevel"/>
    <w:tmpl w:val="140006B0"/>
    <w:lvl w:ilvl="0" w:tentative="0">
      <w:start w:val="1"/>
      <w:numFmt w:val="lowerLetter"/>
      <w:lvlText w:val="%1)"/>
      <w:lvlJc w:val="left"/>
      <w:pPr>
        <w:tabs>
          <w:tab w:val="left" w:pos="800"/>
        </w:tabs>
        <w:ind w:left="800" w:hanging="400"/>
      </w:p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A67A57"/>
    <w:multiLevelType w:val="singleLevel"/>
    <w:tmpl w:val="25A67A57"/>
    <w:lvl w:ilvl="0" w:tentative="0">
      <w:start w:val="1"/>
      <w:numFmt w:val="lowerLetter"/>
      <w:lvlText w:val="%1)"/>
      <w:lvlJc w:val="left"/>
      <w:pPr>
        <w:tabs>
          <w:tab w:val="left" w:pos="800"/>
        </w:tabs>
        <w:ind w:left="800" w:hanging="400"/>
      </w:pPr>
    </w:lvl>
  </w:abstractNum>
  <w:abstractNum w:abstractNumId="6">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7">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8">
    <w:nsid w:val="3001648E"/>
    <w:multiLevelType w:val="singleLevel"/>
    <w:tmpl w:val="3001648E"/>
    <w:lvl w:ilvl="0" w:tentative="0">
      <w:start w:val="1"/>
      <w:numFmt w:val="lowerLetter"/>
      <w:lvlText w:val="%1)"/>
      <w:lvlJc w:val="left"/>
      <w:pPr>
        <w:tabs>
          <w:tab w:val="left" w:pos="800"/>
        </w:tabs>
        <w:ind w:left="800" w:hanging="400"/>
      </w:p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8252847"/>
    <w:multiLevelType w:val="singleLevel"/>
    <w:tmpl w:val="68252847"/>
    <w:lvl w:ilvl="0" w:tentative="0">
      <w:start w:val="1"/>
      <w:numFmt w:val="lowerLetter"/>
      <w:lvlText w:val="%1)"/>
      <w:lvlJc w:val="left"/>
      <w:pPr>
        <w:tabs>
          <w:tab w:val="left" w:pos="800"/>
        </w:tabs>
        <w:ind w:left="800" w:hanging="400"/>
      </w:pPr>
    </w:lvl>
  </w:abstractNum>
  <w:abstractNum w:abstractNumId="14">
    <w:nsid w:val="6FC120F2"/>
    <w:multiLevelType w:val="singleLevel"/>
    <w:tmpl w:val="6FC120F2"/>
    <w:lvl w:ilvl="0" w:tentative="0">
      <w:start w:val="1"/>
      <w:numFmt w:val="lowerLetter"/>
      <w:lvlText w:val="%1)"/>
      <w:lvlJc w:val="left"/>
      <w:pPr>
        <w:tabs>
          <w:tab w:val="left" w:pos="800"/>
        </w:tabs>
        <w:ind w:left="800" w:hanging="400"/>
      </w:pPr>
    </w:lvl>
  </w:abstractNum>
  <w:num w:numId="1">
    <w:abstractNumId w:val="7"/>
  </w:num>
  <w:num w:numId="2">
    <w:abstractNumId w:val="1"/>
  </w:num>
  <w:num w:numId="3">
    <w:abstractNumId w:val="0"/>
  </w:num>
  <w:num w:numId="4">
    <w:abstractNumId w:val="6"/>
  </w:num>
  <w:num w:numId="5">
    <w:abstractNumId w:val="4"/>
  </w:num>
  <w:num w:numId="6">
    <w:abstractNumId w:val="9"/>
  </w:num>
  <w:num w:numId="7">
    <w:abstractNumId w:val="12"/>
  </w:num>
  <w:num w:numId="8">
    <w:abstractNumId w:val="2"/>
  </w:num>
  <w:num w:numId="9">
    <w:abstractNumId w:val="5"/>
  </w:num>
  <w:num w:numId="10">
    <w:abstractNumId w:val="8"/>
  </w:num>
  <w:num w:numId="11">
    <w:abstractNumId w:val="10"/>
  </w:num>
  <w:num w:numId="12">
    <w:abstractNumId w:val="3"/>
  </w:num>
  <w:num w:numId="13">
    <w:abstractNumId w:val="11"/>
    <w:lvlOverride w:ilvl="0">
      <w:startOverride w:val="1"/>
    </w:lvlOverride>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24318"/>
    <w:rsid w:val="0D7633A7"/>
    <w:rsid w:val="0F915822"/>
    <w:rsid w:val="0F915954"/>
    <w:rsid w:val="11CD2746"/>
    <w:rsid w:val="12F75941"/>
    <w:rsid w:val="13E350F6"/>
    <w:rsid w:val="151C7E35"/>
    <w:rsid w:val="155E541B"/>
    <w:rsid w:val="16564E4B"/>
    <w:rsid w:val="16B33102"/>
    <w:rsid w:val="19C8321E"/>
    <w:rsid w:val="1AA54D6C"/>
    <w:rsid w:val="1ACD6B3F"/>
    <w:rsid w:val="1AFD3D34"/>
    <w:rsid w:val="1B07030F"/>
    <w:rsid w:val="1B1E4D4B"/>
    <w:rsid w:val="1C0256CB"/>
    <w:rsid w:val="1D281E65"/>
    <w:rsid w:val="1DFE2872"/>
    <w:rsid w:val="1E356E8E"/>
    <w:rsid w:val="220B1CEC"/>
    <w:rsid w:val="239C0D78"/>
    <w:rsid w:val="24707020"/>
    <w:rsid w:val="25243186"/>
    <w:rsid w:val="2558009C"/>
    <w:rsid w:val="25D965AC"/>
    <w:rsid w:val="2708422B"/>
    <w:rsid w:val="272122E0"/>
    <w:rsid w:val="2A3F5231"/>
    <w:rsid w:val="2C2836AF"/>
    <w:rsid w:val="2CB93993"/>
    <w:rsid w:val="2E49263F"/>
    <w:rsid w:val="2E847A59"/>
    <w:rsid w:val="2E8E53DD"/>
    <w:rsid w:val="2EE16950"/>
    <w:rsid w:val="2F255FE5"/>
    <w:rsid w:val="30273F6A"/>
    <w:rsid w:val="32E40B7F"/>
    <w:rsid w:val="333F6F36"/>
    <w:rsid w:val="33F345E5"/>
    <w:rsid w:val="341E5AB2"/>
    <w:rsid w:val="342F5D1C"/>
    <w:rsid w:val="383B7CB4"/>
    <w:rsid w:val="38B75A11"/>
    <w:rsid w:val="390C00F8"/>
    <w:rsid w:val="3A413490"/>
    <w:rsid w:val="3A4C68AE"/>
    <w:rsid w:val="3AD416BF"/>
    <w:rsid w:val="3B47680D"/>
    <w:rsid w:val="3BA642E1"/>
    <w:rsid w:val="3E86131C"/>
    <w:rsid w:val="405A5CC5"/>
    <w:rsid w:val="40D90483"/>
    <w:rsid w:val="413D0443"/>
    <w:rsid w:val="413E3B49"/>
    <w:rsid w:val="418052FE"/>
    <w:rsid w:val="43894962"/>
    <w:rsid w:val="47281DDD"/>
    <w:rsid w:val="47311E73"/>
    <w:rsid w:val="483D73F0"/>
    <w:rsid w:val="48445BE5"/>
    <w:rsid w:val="4914116B"/>
    <w:rsid w:val="498B36EB"/>
    <w:rsid w:val="49C97313"/>
    <w:rsid w:val="4BC37020"/>
    <w:rsid w:val="4CE13019"/>
    <w:rsid w:val="4E646699"/>
    <w:rsid w:val="4F560BB2"/>
    <w:rsid w:val="4FBC6595"/>
    <w:rsid w:val="50A67B5E"/>
    <w:rsid w:val="51087BA5"/>
    <w:rsid w:val="51160E05"/>
    <w:rsid w:val="55763CAB"/>
    <w:rsid w:val="570B23E3"/>
    <w:rsid w:val="578935BC"/>
    <w:rsid w:val="57C51296"/>
    <w:rsid w:val="59895A2F"/>
    <w:rsid w:val="5AA26459"/>
    <w:rsid w:val="5BAB7B4F"/>
    <w:rsid w:val="5E5623E4"/>
    <w:rsid w:val="6083723A"/>
    <w:rsid w:val="61421422"/>
    <w:rsid w:val="62033EB7"/>
    <w:rsid w:val="637449DE"/>
    <w:rsid w:val="6501186F"/>
    <w:rsid w:val="66DB718F"/>
    <w:rsid w:val="67AB6895"/>
    <w:rsid w:val="68D921A8"/>
    <w:rsid w:val="6A7841D9"/>
    <w:rsid w:val="6A8054B1"/>
    <w:rsid w:val="6AE92486"/>
    <w:rsid w:val="6B6D0362"/>
    <w:rsid w:val="6B993D4E"/>
    <w:rsid w:val="6F625D9B"/>
    <w:rsid w:val="722534BC"/>
    <w:rsid w:val="72911FF8"/>
    <w:rsid w:val="73FD78A0"/>
    <w:rsid w:val="759C7433"/>
    <w:rsid w:val="759F35B5"/>
    <w:rsid w:val="76617148"/>
    <w:rsid w:val="775411A4"/>
    <w:rsid w:val="77A52EB0"/>
    <w:rsid w:val="78C90C7E"/>
    <w:rsid w:val="78DB34C7"/>
    <w:rsid w:val="798C1918"/>
    <w:rsid w:val="79CF6D01"/>
    <w:rsid w:val="79F30046"/>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3"/>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4"/>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2"/>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四级标题 Char"/>
    <w:link w:val="38"/>
    <w:qFormat/>
    <w:uiPriority w:val="0"/>
    <w:rPr>
      <w:rFonts w:eastAsia="黑体" w:asciiTheme="minorAscii" w:hAnsiTheme="minorAscii"/>
      <w:b/>
      <w:sz w:val="28"/>
    </w:rPr>
  </w:style>
  <w:style w:type="character" w:customStyle="1" w:styleId="43">
    <w:name w:val="jp二级标题 Char"/>
    <w:link w:val="35"/>
    <w:qFormat/>
    <w:uiPriority w:val="0"/>
    <w:rPr>
      <w:rFonts w:ascii="黑体" w:hAnsi="黑体" w:eastAsia="黑体"/>
      <w:b/>
      <w:sz w:val="36"/>
    </w:rPr>
  </w:style>
  <w:style w:type="character" w:customStyle="1" w:styleId="44">
    <w:name w:val="jp三级标题 Char"/>
    <w:link w:val="37"/>
    <w:qFormat/>
    <w:uiPriority w:val="0"/>
    <w:rPr>
      <w:rFonts w:ascii="黑体" w:hAnsi="黑体" w:eastAsia="黑体" w:cstheme="minorBidi"/>
      <w:b/>
      <w:sz w:val="32"/>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2020-07-26T07:43:33Z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